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80"/>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all-hands-logo.jpg"/>
                    <pic:cNvPicPr/>
                  </pic:nvPicPr>
                  <pic:blipFill>
                    <a:blip r:embed="rId10"/>
                    <a:stretch>
                      <a:fillRect/>
                    </a:stretch>
                  </pic:blipFill>
                  <pic:spPr>
                    <a:xfrm>
                      <a:off x="0" y="0"/>
                      <a:ext cx="1234440" cy="1234440"/>
                    </a:xfrm>
                    <a:prstGeom prst="rect"/>
                  </pic:spPr>
                </pic:pic>
              </a:graphicData>
            </a:graphic>
          </wp:inline>
        </w:drawing>
      </w:r>
    </w:p>
    <w:p>
      <w:pPr>
        <w:keepNext/>
        <w:spacing w:after="100"/>
        <w:jc w:val="center"/>
      </w:pPr>
      <w:r>
        <w:rPr>
          <w:rFonts w:ascii="Arial" w:hAnsi="Arial"/>
          <w:b/>
          <w:color w:val="4B2A73"/>
          <w:sz w:val="56"/>
        </w:rPr>
        <w:t>ADULT AUTISM RESOURCE GUIDE</w:t>
      </w:r>
    </w:p>
    <w:p>
      <w:pPr>
        <w:keepNext/>
        <w:spacing w:after="160"/>
        <w:jc w:val="center"/>
      </w:pPr>
      <w:r>
        <w:rPr>
          <w:rFonts w:ascii="Arial" w:hAnsi="Arial"/>
          <w:b/>
          <w:color w:val="D95672"/>
          <w:sz w:val="36"/>
        </w:rPr>
        <w:t>Newly Diagnosed</w:t>
        <w:br/>
        <w:t>in Adulthood</w:t>
      </w:r>
    </w:p>
    <w:p>
      <w:pPr>
        <w:pStyle w:val="Subtitle"/>
        <w:jc w:val="center"/>
      </w:pPr>
      <w:r>
        <w:t>A practical Arizona guide to self-understanding, accommodations, possible benefits and next steps</w:t>
      </w:r>
    </w:p>
    <w:tbl>
      <w:tblPr>
        <w:tblW w:type="auto" w:w="0"/>
        <w:jc w:val="center"/>
        <w:tblLayout w:type="fixed"/>
        <w:tblLook w:firstColumn="1" w:firstRow="1" w:lastColumn="0" w:lastRow="0" w:noHBand="0" w:noVBand="1" w:val="04A0"/>
      </w:tblPr>
      <w:tblGrid>
        <w:gridCol w:w="10282"/>
      </w:tblGrid>
      <w:tr>
        <w:tc>
          <w:tcPr>
            <w:tcW w:type="dxa" w:w="10282"/>
            <w:shd w:fill="F2ECF8"/>
            <w:tcMar>
              <w:top w:w="130" w:type="dxa"/>
              <w:start w:w="180" w:type="dxa"/>
              <w:bottom w:w="130" w:type="dxa"/>
              <w:end w:w="180" w:type="dxa"/>
            </w:tcMar>
            <w:tcBorders>
              <w:left w:val="single" w:sz="18" w:color="4B2A73"/>
            </w:tcBorders>
          </w:tcPr>
          <w:p>
            <w:pPr>
              <w:spacing w:after="40"/>
            </w:pPr>
            <w:r>
              <w:rPr>
                <w:rFonts w:ascii="Arial" w:hAnsi="Arial"/>
                <w:b/>
                <w:color w:val="4B2A73"/>
                <w:sz w:val="20"/>
              </w:rPr>
              <w:t>A diagnosis can explain. It does not limit.</w:t>
            </w:r>
          </w:p>
          <w:p>
            <w:pPr>
              <w:spacing w:after="0" w:line="252" w:lineRule="auto"/>
            </w:pPr>
            <w:r>
              <w:rPr>
                <w:rFonts w:ascii="Arial" w:hAnsi="Arial"/>
                <w:color w:val="22313A"/>
                <w:sz w:val="17"/>
              </w:rPr>
              <w:t>For many adults, an autism diagnosis brings clarity, validation and a new way to understand years of sensory overload, social exhaustion, masking or unexplained burnout. It can also raise practical questions. This guide separates self-understanding, legal rights and program eligibility so you can move forward one decision at a time.</w:t>
            </w:r>
          </w:p>
        </w:tc>
      </w:tr>
    </w:tbl>
    <w:p>
      <w:pPr>
        <w:spacing w:after="0"/>
      </w:pPr>
    </w:p>
    <w:p>
      <w:pPr>
        <w:pStyle w:val="Heading2"/>
      </w:pPr>
      <w:r>
        <w:t>Read this first</w:t>
      </w:r>
    </w:p>
    <w:p>
      <w:pPr>
        <w:pStyle w:val="ListBullet"/>
        <w:spacing w:after="80" w:line="247" w:lineRule="auto"/>
        <w:ind w:left="360" w:hanging="187"/>
      </w:pPr>
      <w:r>
        <w:rPr>
          <w:rFonts w:ascii="Arial" w:hAnsi="Arial"/>
          <w:color w:val="22313A"/>
          <w:sz w:val="18"/>
        </w:rPr>
        <w:t>Autism is a lifelong neurodevelopmental disability. The date of diagnosis and the age when disability began are not necessarily the same.</w:t>
      </w:r>
    </w:p>
    <w:p>
      <w:pPr>
        <w:pStyle w:val="ListBullet"/>
        <w:spacing w:after="80" w:line="247" w:lineRule="auto"/>
        <w:ind w:left="360" w:hanging="187"/>
      </w:pPr>
      <w:r>
        <w:rPr>
          <w:rFonts w:ascii="Arial" w:hAnsi="Arial"/>
          <w:color w:val="22313A"/>
          <w:sz w:val="18"/>
        </w:rPr>
        <w:t>A diagnosis can support an accommodation or service request, but it does not automatically guarantee cash benefits, DDD eligibility, academic adjustments or a particular workplace change.</w:t>
      </w:r>
    </w:p>
    <w:p>
      <w:pPr>
        <w:pStyle w:val="ListBullet"/>
        <w:spacing w:after="80" w:line="247" w:lineRule="auto"/>
        <w:ind w:left="360" w:hanging="187"/>
      </w:pPr>
      <w:r>
        <w:rPr>
          <w:rFonts w:ascii="Arial" w:hAnsi="Arial"/>
          <w:color w:val="22313A"/>
          <w:sz w:val="18"/>
        </w:rPr>
        <w:t>You control your identity language. This guide follows AHIAF’s person-first house style while respecting adults who choose identity-first language for themselves.</w:t>
      </w:r>
    </w:p>
    <w:p>
      <w:pPr>
        <w:pStyle w:val="ListBullet"/>
        <w:spacing w:after="80" w:line="247" w:lineRule="auto"/>
        <w:ind w:left="360" w:hanging="187"/>
      </w:pPr>
      <w:r>
        <w:rPr>
          <w:rFonts w:ascii="Arial" w:hAnsi="Arial"/>
          <w:color w:val="22313A"/>
          <w:sz w:val="18"/>
        </w:rPr>
        <w:t>This guide is educational—not legal, medical, financial or benefits advice. Programs and deadlines change. Confirm current rules with the agency or a qualified professional.</w:t>
      </w:r>
    </w:p>
    <w:p>
      <w:pPr>
        <w:jc w:val="center"/>
      </w:pPr>
      <w:r>
        <w:rPr>
          <w:rFonts w:ascii="Arial" w:hAnsi="Arial"/>
          <w:color w:val="5F6C72"/>
          <w:sz w:val="16"/>
        </w:rPr>
        <w:t>Reviewed August 12, 2026  •  Arizona edition</w:t>
      </w:r>
    </w:p>
    <w:p>
      <w:r>
        <w:br w:type="page"/>
      </w:r>
    </w:p>
    <w:p>
      <w:pPr>
        <w:spacing w:after="40"/>
      </w:pPr>
      <w:r>
        <w:rPr>
          <w:rFonts w:ascii="Arial" w:hAnsi="Arial"/>
          <w:b/>
          <w:color w:val="D95672"/>
          <w:sz w:val="16"/>
        </w:rPr>
        <w:t>01 • MEANING</w:t>
      </w:r>
    </w:p>
    <w:p>
      <w:pPr>
        <w:pStyle w:val="Heading1"/>
      </w:pPr>
      <w:r>
        <w:t>What a diagnosis can—and cannot—change</w:t>
      </w:r>
    </w:p>
    <w:p>
      <w:pPr>
        <w:spacing w:after="160" w:line="259" w:lineRule="auto"/>
      </w:pPr>
      <w:r>
        <w:rPr>
          <w:rFonts w:ascii="Arial" w:hAnsi="Arial"/>
          <w:color w:val="5F6C72"/>
          <w:sz w:val="20"/>
        </w:rPr>
        <w:t>There is no single correct emotional response. Relief, grief, anger, validation, uncertainty and hope can exist at the same time.</w:t>
      </w:r>
    </w:p>
    <w:p>
      <w:pPr>
        <w:pStyle w:val="Heading2"/>
      </w:pPr>
      <w:r>
        <w:t>What it may offer</w:t>
      </w:r>
    </w:p>
    <w:p>
      <w:pPr>
        <w:pStyle w:val="ListBullet"/>
        <w:spacing w:after="80" w:line="247" w:lineRule="auto"/>
        <w:ind w:left="360" w:hanging="187"/>
      </w:pPr>
      <w:r>
        <w:rPr>
          <w:rFonts w:ascii="Arial" w:hAnsi="Arial"/>
          <w:color w:val="22313A"/>
          <w:sz w:val="18"/>
        </w:rPr>
        <w:t>A framework for understanding sensory needs, communication patterns, routines, energy limits and executive-function barriers.</w:t>
      </w:r>
    </w:p>
    <w:p>
      <w:pPr>
        <w:pStyle w:val="ListBullet"/>
        <w:spacing w:after="80" w:line="247" w:lineRule="auto"/>
        <w:ind w:left="360" w:hanging="187"/>
      </w:pPr>
      <w:r>
        <w:rPr>
          <w:rFonts w:ascii="Arial" w:hAnsi="Arial"/>
          <w:color w:val="22313A"/>
          <w:sz w:val="18"/>
        </w:rPr>
        <w:t>Language that can reduce self-blame and help you reinterpret past school, work, relationship or health experiences.</w:t>
      </w:r>
    </w:p>
    <w:p>
      <w:pPr>
        <w:pStyle w:val="ListBullet"/>
        <w:spacing w:after="80" w:line="247" w:lineRule="auto"/>
        <w:ind w:left="360" w:hanging="187"/>
      </w:pPr>
      <w:r>
        <w:rPr>
          <w:rFonts w:ascii="Arial" w:hAnsi="Arial"/>
          <w:color w:val="22313A"/>
          <w:sz w:val="18"/>
        </w:rPr>
        <w:t>A clearer path toward neurodiversity-affirming medical, mental-health, occupational or communication support when those services are useful.</w:t>
      </w:r>
    </w:p>
    <w:p>
      <w:pPr>
        <w:pStyle w:val="ListBullet"/>
        <w:spacing w:after="80" w:line="247" w:lineRule="auto"/>
        <w:ind w:left="360" w:hanging="187"/>
      </w:pPr>
      <w:r>
        <w:rPr>
          <w:rFonts w:ascii="Arial" w:hAnsi="Arial"/>
          <w:color w:val="22313A"/>
          <w:sz w:val="18"/>
        </w:rPr>
        <w:t>Documentation that may support accommodation or program applications when it describes real functional barriers and needed changes.</w:t>
      </w:r>
    </w:p>
    <w:p>
      <w:pPr>
        <w:pStyle w:val="ListBullet"/>
        <w:spacing w:after="80" w:line="247" w:lineRule="auto"/>
        <w:ind w:left="360" w:hanging="187"/>
      </w:pPr>
      <w:r>
        <w:rPr>
          <w:rFonts w:ascii="Arial" w:hAnsi="Arial"/>
          <w:color w:val="22313A"/>
          <w:sz w:val="18"/>
        </w:rPr>
        <w:t>Connection with peers and communities where different communication and regulation needs are understood.</w:t>
      </w:r>
    </w:p>
    <w:p>
      <w:pPr>
        <w:pStyle w:val="Heading2"/>
      </w:pPr>
      <w:r>
        <w:t>What it does not automatically do</w:t>
      </w:r>
    </w:p>
    <w:p>
      <w:pPr>
        <w:pStyle w:val="ListBullet"/>
        <w:spacing w:after="80" w:line="247" w:lineRule="auto"/>
        <w:ind w:left="360" w:hanging="187"/>
      </w:pPr>
      <w:r>
        <w:rPr>
          <w:rFonts w:ascii="Arial" w:hAnsi="Arial"/>
          <w:color w:val="22313A"/>
          <w:sz w:val="18"/>
        </w:rPr>
        <w:t>It does not make you a different person or erase skills, relationships, responsibilities or preferences.</w:t>
      </w:r>
    </w:p>
    <w:p>
      <w:pPr>
        <w:pStyle w:val="ListBullet"/>
        <w:spacing w:after="80" w:line="247" w:lineRule="auto"/>
        <w:ind w:left="360" w:hanging="187"/>
      </w:pPr>
      <w:r>
        <w:rPr>
          <w:rFonts w:ascii="Arial" w:hAnsi="Arial"/>
          <w:color w:val="22313A"/>
          <w:sz w:val="18"/>
        </w:rPr>
        <w:t>It does not require you to tell an employer, school, landlord, family member or friend.</w:t>
      </w:r>
    </w:p>
    <w:p>
      <w:pPr>
        <w:pStyle w:val="ListBullet"/>
        <w:spacing w:after="80" w:line="247" w:lineRule="auto"/>
        <w:ind w:left="360" w:hanging="187"/>
      </w:pPr>
      <w:r>
        <w:rPr>
          <w:rFonts w:ascii="Arial" w:hAnsi="Arial"/>
          <w:color w:val="22313A"/>
          <w:sz w:val="18"/>
        </w:rPr>
        <w:t>It does not guarantee SSI, SSDI, Arizona DDD, Vocational Rehabilitation, AHCCCS, SNAP, housing changes or a particular accommodation.</w:t>
      </w:r>
    </w:p>
    <w:p>
      <w:pPr>
        <w:pStyle w:val="ListBullet"/>
        <w:spacing w:after="80" w:line="247" w:lineRule="auto"/>
        <w:ind w:left="360" w:hanging="187"/>
      </w:pPr>
      <w:r>
        <w:rPr>
          <w:rFonts w:ascii="Arial" w:hAnsi="Arial"/>
          <w:color w:val="22313A"/>
          <w:sz w:val="18"/>
        </w:rPr>
        <w:t>It does not mean every struggle is caused by autism. Sleep, trauma, anxiety, depression, ADHD, medication effects and medical conditions still deserve careful evaluation.</w:t>
      </w:r>
    </w:p>
    <w:tbl>
      <w:tblPr>
        <w:tblW w:type="auto" w:w="0"/>
        <w:jc w:val="center"/>
        <w:tblLayout w:type="fixed"/>
        <w:tblLook w:firstColumn="1" w:firstRow="1" w:lastColumn="0" w:lastRow="0" w:noHBand="0" w:noVBand="1" w:val="04A0"/>
      </w:tblPr>
      <w:tblGrid>
        <w:gridCol w:w="10282"/>
      </w:tblGrid>
      <w:tr>
        <w:tc>
          <w:tcPr>
            <w:tcW w:type="dxa" w:w="10282"/>
            <w:shd w:fill="FFF5DA"/>
            <w:tcMar>
              <w:top w:w="130" w:type="dxa"/>
              <w:start w:w="180" w:type="dxa"/>
              <w:bottom w:w="130" w:type="dxa"/>
              <w:end w:w="180" w:type="dxa"/>
            </w:tcMar>
            <w:tcBorders>
              <w:left w:val="single" w:sz="18" w:color="E3A52B"/>
            </w:tcBorders>
          </w:tcPr>
          <w:p>
            <w:pPr>
              <w:spacing w:after="40"/>
            </w:pPr>
            <w:r>
              <w:rPr>
                <w:rFonts w:ascii="Arial" w:hAnsi="Arial"/>
                <w:b/>
                <w:color w:val="E3A52B"/>
                <w:sz w:val="20"/>
              </w:rPr>
              <w:t>If exhaustion is severe</w:t>
            </w:r>
          </w:p>
          <w:p>
            <w:pPr>
              <w:spacing w:after="0" w:line="252" w:lineRule="auto"/>
            </w:pPr>
            <w:r>
              <w:rPr>
                <w:rFonts w:ascii="Arial" w:hAnsi="Arial"/>
                <w:color w:val="22313A"/>
                <w:sz w:val="17"/>
              </w:rPr>
              <w:t>Persistent exhaustion, loss of daily capacity, new confusion, self-neglect or sudden changes deserve medical attention. Terms such as “autistic burnout” may help describe an experience, but they should not replace assessment for treatable physical or mental-health conditions. Call or text 988 for crisis support; call 911 for immediate danger.</w:t>
            </w:r>
          </w:p>
        </w:tc>
      </w:tr>
    </w:tbl>
    <w:p>
      <w:pPr>
        <w:spacing w:after="0"/>
      </w:pPr>
    </w:p>
    <w:p>
      <w:pPr>
        <w:pStyle w:val="Heading2"/>
      </w:pPr>
      <w:r>
        <w:t>Your first 30 days</w:t>
      </w:r>
    </w:p>
    <w:p>
      <w:pPr>
        <w:spacing w:after="80"/>
        <w:ind w:left="389" w:hanging="216"/>
      </w:pPr>
      <w:r>
        <w:rPr>
          <w:rFonts w:ascii="Arial" w:hAnsi="Arial"/>
          <w:sz w:val="17"/>
        </w:rPr>
        <w:t>1.  Request the complete evaluation report, testing results and recommendations—not only a diagnosis letter.</w:t>
      </w:r>
    </w:p>
    <w:p>
      <w:pPr>
        <w:spacing w:after="80"/>
        <w:ind w:left="389" w:hanging="216"/>
      </w:pPr>
      <w:r>
        <w:rPr>
          <w:rFonts w:ascii="Arial" w:hAnsi="Arial"/>
          <w:sz w:val="17"/>
        </w:rPr>
        <w:t>2.  Write down the settings creating the greatest barrier: work, school, home, healthcare, transportation or daily living.</w:t>
      </w:r>
    </w:p>
    <w:p>
      <w:pPr>
        <w:spacing w:after="80"/>
        <w:ind w:left="389" w:hanging="216"/>
      </w:pPr>
      <w:r>
        <w:rPr>
          <w:rFonts w:ascii="Arial" w:hAnsi="Arial"/>
          <w:sz w:val="17"/>
        </w:rPr>
        <w:t>3.  List what already helps. Specific, effective supports are easier to request than broad promises to “be more accommodating.”</w:t>
      </w:r>
    </w:p>
    <w:p>
      <w:pPr>
        <w:spacing w:after="80"/>
        <w:ind w:left="389" w:hanging="216"/>
      </w:pPr>
      <w:r>
        <w:rPr>
          <w:rFonts w:ascii="Arial" w:hAnsi="Arial"/>
          <w:sz w:val="17"/>
        </w:rPr>
        <w:t>4.  Choose one urgent next step. You do not need to disclose everywhere or apply for every program at once.</w:t>
      </w:r>
    </w:p>
    <w:p>
      <w:pPr>
        <w:spacing w:after="80"/>
        <w:ind w:left="389" w:hanging="216"/>
      </w:pPr>
      <w:r>
        <w:rPr>
          <w:rFonts w:ascii="Arial" w:hAnsi="Arial"/>
          <w:sz w:val="17"/>
        </w:rPr>
        <w:t>5.  Create a private folder for reports, requests, decisions, deadlines and contact notes.</w:t>
      </w:r>
    </w:p>
    <w:p>
      <w:r>
        <w:br w:type="page"/>
      </w:r>
    </w:p>
    <w:p>
      <w:pPr>
        <w:spacing w:after="40"/>
      </w:pPr>
      <w:r>
        <w:rPr>
          <w:rFonts w:ascii="Arial" w:hAnsi="Arial"/>
          <w:b/>
          <w:color w:val="D95672"/>
          <w:sz w:val="16"/>
        </w:rPr>
        <w:t>02 • DOCUMENTATION</w:t>
      </w:r>
    </w:p>
    <w:p>
      <w:pPr>
        <w:pStyle w:val="Heading1"/>
      </w:pPr>
      <w:r>
        <w:t>Build a record that explains function—not just a label</w:t>
      </w:r>
    </w:p>
    <w:p>
      <w:pPr>
        <w:spacing w:after="160" w:line="259" w:lineRule="auto"/>
      </w:pPr>
      <w:r>
        <w:rPr>
          <w:rFonts w:ascii="Arial" w:hAnsi="Arial"/>
          <w:color w:val="5F6C72"/>
          <w:sz w:val="20"/>
        </w:rPr>
        <w:t>Strong documentation connects a health condition to a specific barrier and a practical change. The right amount of detail depends on the setting.</w:t>
      </w:r>
    </w:p>
    <w:p>
      <w:pPr>
        <w:pStyle w:val="Heading2"/>
      </w:pPr>
      <w:r>
        <w:t>Keep these records</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376"/>
            <w:shd w:fill="4B2A73"/>
            <w:tcMar>
              <w:top w:w="90" w:type="dxa"/>
              <w:start w:w="100" w:type="dxa"/>
              <w:bottom w:w="90" w:type="dxa"/>
              <w:end w:w="100" w:type="dxa"/>
            </w:tcMar>
          </w:tcPr>
          <w:p>
            <w:pPr>
              <w:spacing w:after="0"/>
            </w:pPr>
            <w:r>
              <w:rPr>
                <w:rFonts w:ascii="Arial" w:hAnsi="Arial"/>
                <w:b/>
                <w:color w:val="FFFFFF"/>
                <w:sz w:val="16"/>
              </w:rPr>
              <w:t>Record</w:t>
            </w:r>
          </w:p>
        </w:tc>
        <w:tc>
          <w:tcPr>
            <w:tcW w:type="dxa" w:w="7992"/>
            <w:shd w:fill="4B2A73"/>
            <w:tcMar>
              <w:top w:w="90" w:type="dxa"/>
              <w:start w:w="100" w:type="dxa"/>
              <w:bottom w:w="90" w:type="dxa"/>
              <w:end w:w="100" w:type="dxa"/>
            </w:tcMar>
          </w:tcPr>
          <w:p>
            <w:pPr>
              <w:spacing w:after="0"/>
            </w:pPr>
            <w:r>
              <w:rPr>
                <w:rFonts w:ascii="Arial" w:hAnsi="Arial"/>
                <w:b/>
                <w:color w:val="FFFFFF"/>
                <w:sz w:val="16"/>
              </w:rPr>
              <w:t>What makes it useful</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Full diagnostic evaluation</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Provider credentials, methods used, developmental history, diagnosis, current functional impact and recommendations.</w:t>
            </w:r>
          </w:p>
        </w:tc>
      </w:tr>
      <w:tr>
        <w:tc>
          <w:tcPr>
            <w:tcW w:type="dxa" w:w="2376"/>
            <w:shd w:fill="EAF7F6"/>
            <w:tcMar>
              <w:top w:w="80" w:type="dxa"/>
              <w:start w:w="100" w:type="dxa"/>
              <w:bottom w:w="80" w:type="dxa"/>
              <w:end w:w="100" w:type="dxa"/>
            </w:tcMar>
          </w:tcPr>
          <w:p>
            <w:pPr>
              <w:spacing w:after="0" w:line="240" w:lineRule="auto"/>
            </w:pPr>
            <w:r>
              <w:rPr>
                <w:rFonts w:ascii="Arial" w:hAnsi="Arial"/>
                <w:color w:val="22313A"/>
                <w:sz w:val="16"/>
              </w:rPr>
              <w:t>One-page access profile</w:t>
            </w:r>
          </w:p>
        </w:tc>
        <w:tc>
          <w:tcPr>
            <w:tcW w:type="dxa" w:w="7992"/>
            <w:shd w:fill="EAF7F6"/>
            <w:tcMar>
              <w:top w:w="80" w:type="dxa"/>
              <w:start w:w="100" w:type="dxa"/>
              <w:bottom w:w="80" w:type="dxa"/>
              <w:end w:w="100" w:type="dxa"/>
            </w:tcMar>
          </w:tcPr>
          <w:p>
            <w:pPr>
              <w:spacing w:after="0" w:line="240" w:lineRule="auto"/>
            </w:pPr>
            <w:r>
              <w:rPr>
                <w:rFonts w:ascii="Arial" w:hAnsi="Arial"/>
                <w:color w:val="22313A"/>
                <w:sz w:val="16"/>
              </w:rPr>
              <w:t>Communication preferences, sensory needs, effective supports, warning signs and what helps during overload.</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Provider support letter</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The functional limitation, why the requested change is needed, expected duration and possible alternatives.</w:t>
            </w:r>
          </w:p>
        </w:tc>
      </w:tr>
      <w:tr>
        <w:tc>
          <w:tcPr>
            <w:tcW w:type="dxa" w:w="2376"/>
            <w:shd w:fill="EAF7F6"/>
            <w:tcMar>
              <w:top w:w="80" w:type="dxa"/>
              <w:start w:w="100" w:type="dxa"/>
              <w:bottom w:w="80" w:type="dxa"/>
              <w:end w:w="100" w:type="dxa"/>
            </w:tcMar>
          </w:tcPr>
          <w:p>
            <w:pPr>
              <w:spacing w:after="0" w:line="240" w:lineRule="auto"/>
            </w:pPr>
            <w:r>
              <w:rPr>
                <w:rFonts w:ascii="Arial" w:hAnsi="Arial"/>
                <w:color w:val="22313A"/>
                <w:sz w:val="16"/>
              </w:rPr>
              <w:t>Dated impact log</w:t>
            </w:r>
          </w:p>
        </w:tc>
        <w:tc>
          <w:tcPr>
            <w:tcW w:type="dxa" w:w="7992"/>
            <w:shd w:fill="EAF7F6"/>
            <w:tcMar>
              <w:top w:w="80" w:type="dxa"/>
              <w:start w:w="100" w:type="dxa"/>
              <w:bottom w:w="80" w:type="dxa"/>
              <w:end w:w="100" w:type="dxa"/>
            </w:tcMar>
          </w:tcPr>
          <w:p>
            <w:pPr>
              <w:spacing w:after="0" w:line="240" w:lineRule="auto"/>
            </w:pPr>
            <w:r>
              <w:rPr>
                <w:rFonts w:ascii="Arial" w:hAnsi="Arial"/>
                <w:color w:val="22313A"/>
                <w:sz w:val="16"/>
              </w:rPr>
              <w:t>Where the barrier occurred, what happened, what support was tried and the result. Use observable facts.</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Requests and decisions</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Copies of forms, emails, meeting notes, decision letters, appeal instructions and response deadlines.</w:t>
            </w:r>
          </w:p>
        </w:tc>
      </w:tr>
    </w:tbl>
    <w:p>
      <w:pPr>
        <w:spacing w:after="0"/>
      </w:pPr>
    </w:p>
    <w:p>
      <w:pPr>
        <w:pStyle w:val="Heading2"/>
      </w:pPr>
      <w:r>
        <w:t>Disclosure is a decision, not a single event</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5"/>
              </w:rPr>
              <w:t>Setting</w:t>
            </w:r>
          </w:p>
        </w:tc>
        <w:tc>
          <w:tcPr>
            <w:tcW w:type="dxa" w:w="8136"/>
            <w:shd w:fill="4B2A73"/>
            <w:tcMar>
              <w:top w:w="90" w:type="dxa"/>
              <w:start w:w="100" w:type="dxa"/>
              <w:bottom w:w="90" w:type="dxa"/>
              <w:end w:w="100" w:type="dxa"/>
            </w:tcMar>
          </w:tcPr>
          <w:p>
            <w:pPr>
              <w:spacing w:after="0"/>
            </w:pPr>
            <w:r>
              <w:rPr>
                <w:rFonts w:ascii="Arial" w:hAnsi="Arial"/>
                <w:b/>
                <w:color w:val="FFFFFF"/>
                <w:sz w:val="15"/>
              </w:rPr>
              <w:t>A practical approach</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Job application/interview</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Pre-offer disability disclosure is generally voluntary. If you need an application or interview change, request that change from the employer’s contact.</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Current job</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Use the employer’s accommodation process, HR or a manager. Explain the work barrier and change needed. No special legal words are required.</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College or training</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Disclosure is voluntary, but the student must identify the disability and request adjustments through disability services or the ADA/504 coordinator.</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Housing, healthcare or public service</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Share only information reasonably needed to explain the disability-related barrier and requested modification.</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Benefits or DDD</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Expect broader evidence about diagnosis, onset, work, income/resources and daily functioning because eligibility is being decided.</w:t>
            </w:r>
          </w:p>
        </w:tc>
      </w:tr>
    </w:tbl>
    <w:p>
      <w:pPr>
        <w:spacing w:after="0"/>
      </w:pPr>
    </w:p>
    <w:tbl>
      <w:tblPr>
        <w:tblW w:type="auto" w:w="0"/>
        <w:jc w:val="center"/>
        <w:tblLayout w:type="fixed"/>
        <w:tblLook w:firstColumn="1" w:firstRow="1" w:lastColumn="0" w:lastRow="0" w:noHBand="0" w:noVBand="1" w:val="04A0"/>
      </w:tblPr>
      <w:tblGrid>
        <w:gridCol w:w="10282"/>
      </w:tblGrid>
      <w:tr>
        <w:tc>
          <w:tcPr>
            <w:tcW w:type="dxa" w:w="10282"/>
            <w:shd w:fill="F2ECF8"/>
            <w:tcMar>
              <w:top w:w="130" w:type="dxa"/>
              <w:start w:w="180" w:type="dxa"/>
              <w:bottom w:w="130" w:type="dxa"/>
              <w:end w:w="180" w:type="dxa"/>
            </w:tcMar>
            <w:tcBorders>
              <w:left w:val="single" w:sz="18" w:color="4B2A73"/>
            </w:tcBorders>
          </w:tcPr>
          <w:p>
            <w:pPr>
              <w:spacing w:after="40"/>
            </w:pPr>
            <w:r>
              <w:rPr>
                <w:rFonts w:ascii="Arial" w:hAnsi="Arial"/>
                <w:b/>
                <w:color w:val="4B2A73"/>
                <w:sz w:val="20"/>
              </w:rPr>
              <w:t>Protect your privacy</w:t>
            </w:r>
          </w:p>
          <w:p>
            <w:pPr>
              <w:spacing w:after="0" w:line="252" w:lineRule="auto"/>
            </w:pPr>
            <w:r>
              <w:rPr>
                <w:rFonts w:ascii="Arial" w:hAnsi="Arial"/>
                <w:color w:val="22313A"/>
                <w:sz w:val="17"/>
              </w:rPr>
              <w:t>In employment, an employer may request reasonable documentation when disability or need is not obvious, but generally should not seek unrelated medical records. Medical information must be kept confidential subject to limited exceptions. Keep your own complete file; submit only what the process reasonably requires. [3]</w:t>
            </w:r>
          </w:p>
        </w:tc>
      </w:tr>
    </w:tbl>
    <w:p>
      <w:pPr>
        <w:spacing w:after="0"/>
      </w:pPr>
    </w:p>
    <w:p>
      <w:r>
        <w:br w:type="page"/>
      </w:r>
    </w:p>
    <w:p>
      <w:pPr>
        <w:spacing w:after="40"/>
      </w:pPr>
      <w:r>
        <w:rPr>
          <w:rFonts w:ascii="Arial" w:hAnsi="Arial"/>
          <w:b/>
          <w:color w:val="D95672"/>
          <w:sz w:val="16"/>
        </w:rPr>
        <w:t>03 • EMPLOYMENT</w:t>
      </w:r>
    </w:p>
    <w:p>
      <w:pPr>
        <w:pStyle w:val="Heading1"/>
      </w:pPr>
      <w:r>
        <w:t>Request workplace access with clarity</w:t>
      </w:r>
    </w:p>
    <w:p>
      <w:pPr>
        <w:spacing w:after="160" w:line="259" w:lineRule="auto"/>
      </w:pPr>
      <w:r>
        <w:rPr>
          <w:rFonts w:ascii="Arial" w:hAnsi="Arial"/>
          <w:color w:val="5F6C72"/>
          <w:sz w:val="20"/>
        </w:rPr>
        <w:t>ADA Title I generally applies to employers with 15 or more employees. A qualified employee may be entitled to a reasonable accommodation unless it creates undue hardship; an employer does not have to remove an essential job function. Arizona law may provide an additional complaint route. [2][3][13]</w:t>
      </w:r>
    </w:p>
    <w:p>
      <w:pPr>
        <w:pStyle w:val="Heading2"/>
      </w:pPr>
      <w:r>
        <w:t>Common accommodation ideas</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376"/>
            <w:shd w:fill="4B2A73"/>
            <w:tcMar>
              <w:top w:w="90" w:type="dxa"/>
              <w:start w:w="100" w:type="dxa"/>
              <w:bottom w:w="90" w:type="dxa"/>
              <w:end w:w="100" w:type="dxa"/>
            </w:tcMar>
          </w:tcPr>
          <w:p>
            <w:pPr>
              <w:spacing w:after="0"/>
            </w:pPr>
            <w:r>
              <w:rPr>
                <w:rFonts w:ascii="Arial" w:hAnsi="Arial"/>
                <w:b/>
                <w:color w:val="FFFFFF"/>
                <w:sz w:val="16"/>
              </w:rPr>
              <w:t>Barrier</w:t>
            </w:r>
          </w:p>
        </w:tc>
        <w:tc>
          <w:tcPr>
            <w:tcW w:type="dxa" w:w="7992"/>
            <w:shd w:fill="4B2A73"/>
            <w:tcMar>
              <w:top w:w="90" w:type="dxa"/>
              <w:start w:w="100" w:type="dxa"/>
              <w:bottom w:w="90" w:type="dxa"/>
              <w:end w:w="100" w:type="dxa"/>
            </w:tcMar>
          </w:tcPr>
          <w:p>
            <w:pPr>
              <w:spacing w:after="0"/>
            </w:pPr>
            <w:r>
              <w:rPr>
                <w:rFonts w:ascii="Arial" w:hAnsi="Arial"/>
                <w:b/>
                <w:color w:val="FFFFFF"/>
                <w:sz w:val="16"/>
              </w:rPr>
              <w:t>Possible changes to discuss</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Sound, light or movement</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Noise reduction, alternative lighting, a lower-traffic workspace, remote participation or a quiet room when operationally workable.</w:t>
            </w:r>
          </w:p>
        </w:tc>
      </w:tr>
      <w:tr>
        <w:tc>
          <w:tcPr>
            <w:tcW w:type="dxa" w:w="2376"/>
            <w:shd w:fill="EAF7F6"/>
            <w:tcMar>
              <w:top w:w="80" w:type="dxa"/>
              <w:start w:w="100" w:type="dxa"/>
              <w:bottom w:w="80" w:type="dxa"/>
              <w:end w:w="100" w:type="dxa"/>
            </w:tcMar>
          </w:tcPr>
          <w:p>
            <w:pPr>
              <w:spacing w:after="0" w:line="240" w:lineRule="auto"/>
            </w:pPr>
            <w:r>
              <w:rPr>
                <w:rFonts w:ascii="Arial" w:hAnsi="Arial"/>
                <w:color w:val="22313A"/>
                <w:sz w:val="16"/>
              </w:rPr>
              <w:t>Verbal processing</w:t>
            </w:r>
          </w:p>
        </w:tc>
        <w:tc>
          <w:tcPr>
            <w:tcW w:type="dxa" w:w="7992"/>
            <w:shd w:fill="EAF7F6"/>
            <w:tcMar>
              <w:top w:w="80" w:type="dxa"/>
              <w:start w:w="100" w:type="dxa"/>
              <w:bottom w:w="80" w:type="dxa"/>
              <w:end w:w="100" w:type="dxa"/>
            </w:tcMar>
          </w:tcPr>
          <w:p>
            <w:pPr>
              <w:spacing w:after="0" w:line="240" w:lineRule="auto"/>
            </w:pPr>
            <w:r>
              <w:rPr>
                <w:rFonts w:ascii="Arial" w:hAnsi="Arial"/>
                <w:color w:val="22313A"/>
                <w:sz w:val="16"/>
              </w:rPr>
              <w:t>Written follow-up, agendas in advance, direct instructions, extra processing time or one question at a time.</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Predictability and transitions</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Clear priorities, written deadlines, notice of changes, checklists or a consistent communication channel.</w:t>
            </w:r>
          </w:p>
        </w:tc>
      </w:tr>
      <w:tr>
        <w:tc>
          <w:tcPr>
            <w:tcW w:type="dxa" w:w="2376"/>
            <w:shd w:fill="EAF7F6"/>
            <w:tcMar>
              <w:top w:w="80" w:type="dxa"/>
              <w:start w:w="100" w:type="dxa"/>
              <w:bottom w:w="80" w:type="dxa"/>
              <w:end w:w="100" w:type="dxa"/>
            </w:tcMar>
          </w:tcPr>
          <w:p>
            <w:pPr>
              <w:spacing w:after="0" w:line="240" w:lineRule="auto"/>
            </w:pPr>
            <w:r>
              <w:rPr>
                <w:rFonts w:ascii="Arial" w:hAnsi="Arial"/>
                <w:color w:val="22313A"/>
                <w:sz w:val="16"/>
              </w:rPr>
              <w:t>Energy and regulation</w:t>
            </w:r>
          </w:p>
        </w:tc>
        <w:tc>
          <w:tcPr>
            <w:tcW w:type="dxa" w:w="7992"/>
            <w:shd w:fill="EAF7F6"/>
            <w:tcMar>
              <w:top w:w="80" w:type="dxa"/>
              <w:start w:w="100" w:type="dxa"/>
              <w:bottom w:w="80" w:type="dxa"/>
              <w:end w:w="100" w:type="dxa"/>
            </w:tcMar>
          </w:tcPr>
          <w:p>
            <w:pPr>
              <w:spacing w:after="0" w:line="240" w:lineRule="auto"/>
            </w:pPr>
            <w:r>
              <w:rPr>
                <w:rFonts w:ascii="Arial" w:hAnsi="Arial"/>
                <w:color w:val="22313A"/>
                <w:sz w:val="16"/>
              </w:rPr>
              <w:t>Modified breaks, flexible scheduling, intermittent leave when legally available, or temporary adjustment during recovery.</w:t>
            </w:r>
          </w:p>
        </w:tc>
      </w:tr>
      <w:tr>
        <w:tc>
          <w:tcPr>
            <w:tcW w:type="dxa" w:w="2376"/>
            <w:shd w:fill="FFF9F1"/>
            <w:tcMar>
              <w:top w:w="80" w:type="dxa"/>
              <w:start w:w="100" w:type="dxa"/>
              <w:bottom w:w="80" w:type="dxa"/>
              <w:end w:w="100" w:type="dxa"/>
            </w:tcMar>
          </w:tcPr>
          <w:p>
            <w:pPr>
              <w:spacing w:after="0" w:line="240" w:lineRule="auto"/>
            </w:pPr>
            <w:r>
              <w:rPr>
                <w:rFonts w:ascii="Arial" w:hAnsi="Arial"/>
                <w:color w:val="22313A"/>
                <w:sz w:val="16"/>
              </w:rPr>
              <w:t>Hiring process</w:t>
            </w:r>
          </w:p>
        </w:tc>
        <w:tc>
          <w:tcPr>
            <w:tcW w:type="dxa" w:w="7992"/>
            <w:shd w:fill="FFF9F1"/>
            <w:tcMar>
              <w:top w:w="80" w:type="dxa"/>
              <w:start w:w="100" w:type="dxa"/>
              <w:bottom w:w="80" w:type="dxa"/>
              <w:end w:w="100" w:type="dxa"/>
            </w:tcMar>
          </w:tcPr>
          <w:p>
            <w:pPr>
              <w:spacing w:after="0" w:line="240" w:lineRule="auto"/>
            </w:pPr>
            <w:r>
              <w:rPr>
                <w:rFonts w:ascii="Arial" w:hAnsi="Arial"/>
                <w:color w:val="22313A"/>
                <w:sz w:val="16"/>
              </w:rPr>
              <w:t>Alternative interview format, questions in writing, reduced waiting, accessible testing or a support person when appropriate.</w:t>
            </w:r>
          </w:p>
        </w:tc>
      </w:tr>
    </w:tbl>
    <w:p>
      <w:pPr>
        <w:spacing w:after="0"/>
      </w:pPr>
    </w:p>
    <w:p>
      <w:pPr>
        <w:pStyle w:val="Heading2"/>
      </w:pPr>
      <w:r>
        <w:t>A plain-language request</w:t>
      </w:r>
    </w:p>
    <w:tbl>
      <w:tblPr>
        <w:tblW w:type="auto" w:w="0"/>
        <w:jc w:val="center"/>
        <w:tblLayout w:type="fixed"/>
        <w:tblLook w:firstColumn="1" w:firstRow="1" w:lastColumn="0" w:lastRow="0" w:noHBand="0" w:noVBand="1" w:val="04A0"/>
      </w:tblPr>
      <w:tblGrid>
        <w:gridCol w:w="10282"/>
      </w:tblGrid>
      <w:tr>
        <w:tc>
          <w:tcPr>
            <w:tcW w:type="dxa" w:w="10282"/>
            <w:shd w:fill="EAF7F6"/>
            <w:tcMar>
              <w:top w:w="130" w:type="dxa"/>
              <w:start w:w="180" w:type="dxa"/>
              <w:bottom w:w="130" w:type="dxa"/>
              <w:end w:w="180" w:type="dxa"/>
            </w:tcMar>
            <w:tcBorders>
              <w:left w:val="single" w:sz="18" w:color="008C95"/>
            </w:tcBorders>
          </w:tcPr>
          <w:p>
            <w:pPr>
              <w:spacing w:after="40"/>
            </w:pPr>
            <w:r>
              <w:rPr>
                <w:rFonts w:ascii="Arial" w:hAnsi="Arial"/>
                <w:b/>
                <w:color w:val="008C95"/>
                <w:sz w:val="20"/>
              </w:rPr>
              <w:t>Sample</w:t>
            </w:r>
          </w:p>
          <w:p>
            <w:pPr>
              <w:spacing w:after="0" w:line="252" w:lineRule="auto"/>
            </w:pPr>
            <w:r>
              <w:rPr>
                <w:rFonts w:ascii="Arial" w:hAnsi="Arial"/>
                <w:color w:val="22313A"/>
                <w:sz w:val="17"/>
              </w:rPr>
              <w:t>I am requesting a change at work because of a medical condition. [Describe the barrier.] I am requesting [specific change] because it would help me [perform an essential task / access a benefit of employment]. I am available to discuss effective alternatives. Please confirm the next step and any documentation reasonably needed.</w:t>
            </w:r>
          </w:p>
        </w:tc>
      </w:tr>
    </w:tbl>
    <w:p>
      <w:pPr>
        <w:spacing w:after="0"/>
      </w:pPr>
    </w:p>
    <w:p>
      <w:pPr>
        <w:spacing w:after="100" w:line="259" w:lineRule="auto"/>
      </w:pPr>
      <w:r>
        <w:rPr>
          <w:rFonts w:ascii="Arial" w:hAnsi="Arial"/>
          <w:sz w:val="18"/>
        </w:rPr>
        <w:t>A request can be oral or written and does not have to say “ADA” or “reasonable accommodation.” Writing creates a clearer record. The employer and employee should communicate about effective options—the interactive process. [3]</w:t>
      </w:r>
    </w:p>
    <w:p>
      <w:pPr>
        <w:pStyle w:val="Heading2"/>
      </w:pPr>
      <w:r>
        <w:t>If the request stalls or is denied</w:t>
      </w:r>
    </w:p>
    <w:p>
      <w:pPr>
        <w:spacing w:after="80"/>
        <w:ind w:left="389" w:hanging="216"/>
      </w:pPr>
      <w:r>
        <w:rPr>
          <w:rFonts w:ascii="Arial" w:hAnsi="Arial"/>
          <w:sz w:val="17"/>
        </w:rPr>
        <w:t>1.  Ask for the decision and reason in writing, including which part of the request is considered ineffective or burdensome.</w:t>
      </w:r>
    </w:p>
    <w:p>
      <w:pPr>
        <w:spacing w:after="80"/>
        <w:ind w:left="389" w:hanging="216"/>
      </w:pPr>
      <w:r>
        <w:rPr>
          <w:rFonts w:ascii="Arial" w:hAnsi="Arial"/>
          <w:sz w:val="17"/>
        </w:rPr>
        <w:t>2.  Restate the job barrier and invite an effective alternative rather than arguing only for one preferred solution.</w:t>
      </w:r>
    </w:p>
    <w:p>
      <w:pPr>
        <w:spacing w:after="80"/>
        <w:ind w:left="389" w:hanging="216"/>
      </w:pPr>
      <w:r>
        <w:rPr>
          <w:rFonts w:ascii="Arial" w:hAnsi="Arial"/>
          <w:sz w:val="17"/>
        </w:rPr>
        <w:t>3.  Use the employer’s internal review, HR, ADA coordinator, union or grievance process when available.</w:t>
      </w:r>
    </w:p>
    <w:p>
      <w:pPr>
        <w:spacing w:after="80"/>
        <w:ind w:left="389" w:hanging="216"/>
      </w:pPr>
      <w:r>
        <w:rPr>
          <w:rFonts w:ascii="Arial" w:hAnsi="Arial"/>
          <w:sz w:val="17"/>
        </w:rPr>
        <w:t>4.  Keep dates, names, documents and examples of unequal treatment or retaliation.</w:t>
      </w:r>
    </w:p>
    <w:p>
      <w:pPr>
        <w:spacing w:after="80"/>
        <w:ind w:left="389" w:hanging="216"/>
      </w:pPr>
      <w:r>
        <w:rPr>
          <w:rFonts w:ascii="Arial" w:hAnsi="Arial"/>
          <w:sz w:val="17"/>
        </w:rPr>
        <w:t>5.  Contact an agency or legal advocate promptly. Arizona’s Attorney General lists 180 days for employment complaints; the EEOC Phoenix office states that charges in Arizona are generally due within 300 days for covered employers. Deadlines can vary—do not wait. [4][13]</w:t>
      </w:r>
    </w:p>
    <w:p>
      <w:r>
        <w:br w:type="page"/>
      </w:r>
    </w:p>
    <w:p>
      <w:pPr>
        <w:spacing w:after="40"/>
      </w:pPr>
      <w:r>
        <w:rPr>
          <w:rFonts w:ascii="Arial" w:hAnsi="Arial"/>
          <w:b/>
          <w:color w:val="D95672"/>
          <w:sz w:val="16"/>
        </w:rPr>
        <w:t>04 • COLLEGE &amp; TRAINING</w:t>
      </w:r>
    </w:p>
    <w:p>
      <w:pPr>
        <w:pStyle w:val="Heading1"/>
      </w:pPr>
      <w:r>
        <w:t>Self-identify and request academic access</w:t>
      </w:r>
    </w:p>
    <w:p>
      <w:pPr>
        <w:spacing w:after="160" w:line="259" w:lineRule="auto"/>
      </w:pPr>
      <w:r>
        <w:rPr>
          <w:rFonts w:ascii="Arial" w:hAnsi="Arial"/>
          <w:color w:val="5F6C72"/>
          <w:sz w:val="20"/>
        </w:rPr>
        <w:t>The Individuals with Disabilities Education Act and IEP process do not apply in college. Postsecondary schools generally use ADA/Section 504 processes, and the student is responsible for requesting academic adjustments. [5]</w:t>
      </w:r>
    </w:p>
    <w:p>
      <w:pPr>
        <w:pStyle w:val="Heading2"/>
      </w:pPr>
      <w:r>
        <w:t>Possible adjustments</w:t>
      </w:r>
    </w:p>
    <w:p>
      <w:pPr>
        <w:pStyle w:val="ListBullet"/>
        <w:spacing w:after="80" w:line="247" w:lineRule="auto"/>
        <w:ind w:left="360" w:hanging="187"/>
      </w:pPr>
      <w:r>
        <w:rPr>
          <w:rFonts w:ascii="Arial" w:hAnsi="Arial"/>
          <w:color w:val="22313A"/>
          <w:sz w:val="18"/>
        </w:rPr>
        <w:t>Extended testing time or a reduced-distraction testing space.</w:t>
      </w:r>
    </w:p>
    <w:p>
      <w:pPr>
        <w:pStyle w:val="ListBullet"/>
        <w:spacing w:after="80" w:line="247" w:lineRule="auto"/>
        <w:ind w:left="360" w:hanging="187"/>
      </w:pPr>
      <w:r>
        <w:rPr>
          <w:rFonts w:ascii="Arial" w:hAnsi="Arial"/>
          <w:color w:val="22313A"/>
          <w:sz w:val="18"/>
        </w:rPr>
        <w:t>Note-taking support, recording tools, captioning, speech-to-text or accessible course materials.</w:t>
      </w:r>
    </w:p>
    <w:p>
      <w:pPr>
        <w:pStyle w:val="ListBullet"/>
        <w:spacing w:after="80" w:line="247" w:lineRule="auto"/>
        <w:ind w:left="360" w:hanging="187"/>
      </w:pPr>
      <w:r>
        <w:rPr>
          <w:rFonts w:ascii="Arial" w:hAnsi="Arial"/>
          <w:color w:val="22313A"/>
          <w:sz w:val="18"/>
        </w:rPr>
        <w:t>Priority registration, a reduced course load or an adjusted participation method when appropriate.</w:t>
      </w:r>
    </w:p>
    <w:p>
      <w:pPr>
        <w:pStyle w:val="ListBullet"/>
        <w:spacing w:after="80" w:line="247" w:lineRule="auto"/>
        <w:ind w:left="360" w:hanging="187"/>
      </w:pPr>
      <w:r>
        <w:rPr>
          <w:rFonts w:ascii="Arial" w:hAnsi="Arial"/>
          <w:color w:val="22313A"/>
          <w:sz w:val="18"/>
        </w:rPr>
        <w:t>Clear written instructions, predictable communication and alternatives that still measure the essential learning outcome.</w:t>
      </w:r>
    </w:p>
    <w:tbl>
      <w:tblPr>
        <w:tblW w:type="auto" w:w="0"/>
        <w:jc w:val="center"/>
        <w:tblLayout w:type="fixed"/>
        <w:tblLook w:firstColumn="1" w:firstRow="1" w:lastColumn="0" w:lastRow="0" w:noHBand="0" w:noVBand="1" w:val="04A0"/>
      </w:tblPr>
      <w:tblGrid>
        <w:gridCol w:w="10282"/>
      </w:tblGrid>
      <w:tr>
        <w:tc>
          <w:tcPr>
            <w:tcW w:type="dxa" w:w="10282"/>
            <w:shd w:fill="FFF5DA"/>
            <w:tcMar>
              <w:top w:w="130" w:type="dxa"/>
              <w:start w:w="180" w:type="dxa"/>
              <w:bottom w:w="130" w:type="dxa"/>
              <w:end w:w="180" w:type="dxa"/>
            </w:tcMar>
            <w:tcBorders>
              <w:left w:val="single" w:sz="18" w:color="E3A52B"/>
            </w:tcBorders>
          </w:tcPr>
          <w:p>
            <w:pPr>
              <w:spacing w:after="40"/>
            </w:pPr>
            <w:r>
              <w:rPr>
                <w:rFonts w:ascii="Arial" w:hAnsi="Arial"/>
                <w:b/>
                <w:color w:val="E3A52B"/>
                <w:sz w:val="20"/>
              </w:rPr>
              <w:t>Important limit</w:t>
            </w:r>
          </w:p>
          <w:p>
            <w:pPr>
              <w:spacing w:after="0" w:line="252" w:lineRule="auto"/>
            </w:pPr>
            <w:r>
              <w:rPr>
                <w:rFonts w:ascii="Arial" w:hAnsi="Arial"/>
                <w:color w:val="22313A"/>
                <w:sz w:val="17"/>
              </w:rPr>
              <w:t>A school does not have to lower essential academic requirements, fundamentally alter a program or provide personal services such as a personal attendant. Documentation requirements vary, and an IEP or high-school 504 plan may not be sufficient by itself. [5]</w:t>
            </w:r>
          </w:p>
        </w:tc>
      </w:tr>
    </w:tbl>
    <w:p>
      <w:pPr>
        <w:spacing w:after="0"/>
      </w:pPr>
    </w:p>
    <w:p>
      <w:pPr>
        <w:pStyle w:val="Heading2"/>
      </w:pPr>
      <w:r>
        <w:t>Request and resolve</w:t>
      </w:r>
    </w:p>
    <w:p>
      <w:pPr>
        <w:spacing w:after="80"/>
        <w:ind w:left="389" w:hanging="216"/>
      </w:pPr>
      <w:r>
        <w:rPr>
          <w:rFonts w:ascii="Arial" w:hAnsi="Arial"/>
          <w:sz w:val="18"/>
        </w:rPr>
        <w:t>1.  Find disability services or the school’s ADA/Section 504 coordinator before the term begins.</w:t>
      </w:r>
    </w:p>
    <w:p>
      <w:pPr>
        <w:spacing w:after="80"/>
        <w:ind w:left="389" w:hanging="216"/>
      </w:pPr>
      <w:r>
        <w:rPr>
          <w:rFonts w:ascii="Arial" w:hAnsi="Arial"/>
          <w:sz w:val="18"/>
        </w:rPr>
        <w:t>2.  Ask for written procedures and documentation requirements.</w:t>
      </w:r>
    </w:p>
    <w:p>
      <w:pPr>
        <w:spacing w:after="80"/>
        <w:ind w:left="389" w:hanging="216"/>
      </w:pPr>
      <w:r>
        <w:rPr>
          <w:rFonts w:ascii="Arial" w:hAnsi="Arial"/>
          <w:sz w:val="18"/>
        </w:rPr>
        <w:t>3.  Connect each requested adjustment to a disability-related barrier in the course or program.</w:t>
      </w:r>
    </w:p>
    <w:p>
      <w:pPr>
        <w:spacing w:after="80"/>
        <w:ind w:left="389" w:hanging="216"/>
      </w:pPr>
      <w:r>
        <w:rPr>
          <w:rFonts w:ascii="Arial" w:hAnsi="Arial"/>
          <w:sz w:val="18"/>
        </w:rPr>
        <w:t>4.  If denied, request the reason and effective alternatives in writing.</w:t>
      </w:r>
    </w:p>
    <w:p>
      <w:pPr>
        <w:spacing w:after="80"/>
        <w:ind w:left="389" w:hanging="216"/>
      </w:pPr>
      <w:r>
        <w:rPr>
          <w:rFonts w:ascii="Arial" w:hAnsi="Arial"/>
          <w:sz w:val="18"/>
        </w:rPr>
        <w:t>5.  Use the school’s prompt, equitable grievance procedure. You may also contact the U.S. Department of Education Office for Civil Rights; act quickly because complaint deadlines apply.</w:t>
      </w:r>
    </w:p>
    <w:p>
      <w:pPr>
        <w:pStyle w:val="Heading2"/>
      </w:pPr>
      <w:r>
        <w:t>Vocational programs</w:t>
      </w:r>
    </w:p>
    <w:p>
      <w:pPr>
        <w:spacing w:after="100" w:line="259" w:lineRule="auto"/>
      </w:pPr>
      <w:r>
        <w:rPr>
          <w:rFonts w:ascii="Arial" w:hAnsi="Arial"/>
          <w:sz w:val="18"/>
        </w:rPr>
        <w:t>Arizona Vocational Rehabilitation may help eligible people with disabilities prepare for work, find a job, keep a job or return to work. Services are individualized and may include evaluation, training, job search, placement, transportation support, job-site modification or assistive technology. If VR issues an adverse decision, Arizona DES currently instructs applicants to request an appeal within 20 calendar days of the decision letter. [10]</w:t>
      </w:r>
    </w:p>
    <w:p>
      <w:r>
        <w:br w:type="page"/>
      </w:r>
    </w:p>
    <w:p>
      <w:pPr>
        <w:spacing w:after="40"/>
      </w:pPr>
      <w:r>
        <w:rPr>
          <w:rFonts w:ascii="Arial" w:hAnsi="Arial"/>
          <w:b/>
          <w:color w:val="D95672"/>
          <w:sz w:val="16"/>
        </w:rPr>
        <w:t>05 • HOUSING &amp; COMMUNITY ACCESS</w:t>
      </w:r>
    </w:p>
    <w:p>
      <w:pPr>
        <w:pStyle w:val="Heading1"/>
      </w:pPr>
      <w:r>
        <w:t>Request a change where a rule creates a disability barrier</w:t>
      </w:r>
    </w:p>
    <w:p>
      <w:pPr>
        <w:spacing w:after="160" w:line="259" w:lineRule="auto"/>
      </w:pPr>
      <w:r>
        <w:rPr>
          <w:rFonts w:ascii="Arial" w:hAnsi="Arial"/>
          <w:color w:val="5F6C72"/>
          <w:sz w:val="20"/>
        </w:rPr>
        <w:t>Different laws apply to housing, state and local government, businesses open to the public and transportation. Eligibility and remedies depend on the setting.</w:t>
      </w:r>
    </w:p>
    <w:p>
      <w:pPr>
        <w:pStyle w:val="Heading2"/>
      </w:pPr>
      <w:r>
        <w:t>Housing</w:t>
      </w:r>
    </w:p>
    <w:p>
      <w:pPr>
        <w:pStyle w:val="ListBullet"/>
        <w:spacing w:after="80" w:line="247" w:lineRule="auto"/>
        <w:ind w:left="360" w:hanging="187"/>
      </w:pPr>
      <w:r>
        <w:rPr>
          <w:rFonts w:ascii="Arial" w:hAnsi="Arial"/>
          <w:color w:val="22313A"/>
          <w:sz w:val="18"/>
        </w:rPr>
        <w:t>The Fair Housing Act and Arizona law prohibit certain disability discrimination and may require a reasonable accommodation to a rule, policy, practice or service.</w:t>
      </w:r>
    </w:p>
    <w:p>
      <w:pPr>
        <w:pStyle w:val="ListBullet"/>
        <w:spacing w:after="80" w:line="247" w:lineRule="auto"/>
        <w:ind w:left="360" w:hanging="187"/>
      </w:pPr>
      <w:r>
        <w:rPr>
          <w:rFonts w:ascii="Arial" w:hAnsi="Arial"/>
          <w:color w:val="22313A"/>
          <w:sz w:val="18"/>
        </w:rPr>
        <w:t>Examples may include a disability-related exception to a no-pet rule for an assistance animal, a different communication method or a reserved accessible parking location when criteria are met.</w:t>
      </w:r>
    </w:p>
    <w:p>
      <w:pPr>
        <w:pStyle w:val="ListBullet"/>
        <w:spacing w:after="80" w:line="247" w:lineRule="auto"/>
        <w:ind w:left="360" w:hanging="187"/>
      </w:pPr>
      <w:r>
        <w:rPr>
          <w:rFonts w:ascii="Arial" w:hAnsi="Arial"/>
          <w:color w:val="22313A"/>
          <w:sz w:val="18"/>
        </w:rPr>
        <w:t>A physical modification may be permitted, but who pays and whether restoration is required can depend on the property and funding. Get the agreement in writing before making changes.</w:t>
      </w:r>
    </w:p>
    <w:p>
      <w:pPr>
        <w:pStyle w:val="ListBullet"/>
        <w:spacing w:after="80" w:line="247" w:lineRule="auto"/>
        <w:ind w:left="360" w:hanging="187"/>
      </w:pPr>
      <w:r>
        <w:rPr>
          <w:rFonts w:ascii="Arial" w:hAnsi="Arial"/>
          <w:color w:val="22313A"/>
          <w:sz w:val="18"/>
        </w:rPr>
        <w:t>Arizona’s Attorney General lists a one-year deadline for housing complaints. Other federal or court deadlines may differ. [13]</w:t>
      </w:r>
    </w:p>
    <w:p>
      <w:pPr>
        <w:pStyle w:val="Heading2"/>
      </w:pPr>
      <w:r>
        <w:t>Public services and businesses</w:t>
      </w:r>
    </w:p>
    <w:p>
      <w:pPr>
        <w:pStyle w:val="ListBullet"/>
        <w:spacing w:after="80" w:line="247" w:lineRule="auto"/>
        <w:ind w:left="360" w:hanging="187"/>
      </w:pPr>
      <w:r>
        <w:rPr>
          <w:rFonts w:ascii="Arial" w:hAnsi="Arial"/>
          <w:color w:val="22313A"/>
          <w:sz w:val="18"/>
        </w:rPr>
        <w:t>ADA Title II covers state and local government services. Title III covers many private businesses open to the public. Arizona also protects disability access in public accommodations.</w:t>
      </w:r>
    </w:p>
    <w:p>
      <w:pPr>
        <w:pStyle w:val="ListBullet"/>
        <w:spacing w:after="80" w:line="247" w:lineRule="auto"/>
        <w:ind w:left="360" w:hanging="187"/>
      </w:pPr>
      <w:r>
        <w:rPr>
          <w:rFonts w:ascii="Arial" w:hAnsi="Arial"/>
          <w:color w:val="22313A"/>
          <w:sz w:val="18"/>
        </w:rPr>
        <w:t>Ask for an effective communication method, a reasonable policy modification, accessible digital information, reduced waiting or another change tied to the barrier.</w:t>
      </w:r>
    </w:p>
    <w:p>
      <w:pPr>
        <w:pStyle w:val="ListBullet"/>
        <w:spacing w:after="80" w:line="247" w:lineRule="auto"/>
        <w:ind w:left="360" w:hanging="187"/>
      </w:pPr>
      <w:r>
        <w:rPr>
          <w:rFonts w:ascii="Arial" w:hAnsi="Arial"/>
          <w:color w:val="22313A"/>
          <w:sz w:val="18"/>
        </w:rPr>
        <w:t>The law does not guarantee every requested change; fundamental-alteration, safety and other legal limits may apply.</w:t>
      </w:r>
    </w:p>
    <w:p>
      <w:pPr>
        <w:pStyle w:val="ListBullet"/>
        <w:spacing w:after="80" w:line="247" w:lineRule="auto"/>
        <w:ind w:left="360" w:hanging="187"/>
      </w:pPr>
      <w:r>
        <w:rPr>
          <w:rFonts w:ascii="Arial" w:hAnsi="Arial"/>
          <w:color w:val="22313A"/>
          <w:sz w:val="18"/>
        </w:rPr>
        <w:t>Arizona’s Attorney General lists 180 days for public-accommodation complaints. The U.S. Department of Justice also accepts ADA complaints. [2][13][14]</w:t>
      </w:r>
    </w:p>
    <w:p>
      <w:pPr>
        <w:pStyle w:val="Heading2"/>
      </w:pPr>
      <w:r>
        <w:t>Transportation</w:t>
      </w:r>
    </w:p>
    <w:p>
      <w:pPr>
        <w:spacing w:after="100" w:line="259" w:lineRule="auto"/>
      </w:pPr>
      <w:r>
        <w:rPr>
          <w:rFonts w:ascii="Arial" w:hAnsi="Arial"/>
          <w:sz w:val="18"/>
        </w:rPr>
        <w:t>ADA paratransit eligibility is based on whether a disability prevents a person from using fixed-route transit under the program’s criteria—not diagnosis alone. Ask the local transit agency for the application, functional assessment and appeal process.</w:t>
      </w:r>
    </w:p>
    <w:tbl>
      <w:tblPr>
        <w:tblW w:type="auto" w:w="0"/>
        <w:jc w:val="center"/>
        <w:tblLayout w:type="fixed"/>
        <w:tblLook w:firstColumn="1" w:firstRow="1" w:lastColumn="0" w:lastRow="0" w:noHBand="0" w:noVBand="1" w:val="04A0"/>
      </w:tblPr>
      <w:tblGrid>
        <w:gridCol w:w="10282"/>
      </w:tblGrid>
      <w:tr>
        <w:tc>
          <w:tcPr>
            <w:tcW w:type="dxa" w:w="10282"/>
            <w:shd w:fill="EAF7F6"/>
            <w:tcMar>
              <w:top w:w="130" w:type="dxa"/>
              <w:start w:w="180" w:type="dxa"/>
              <w:bottom w:w="130" w:type="dxa"/>
              <w:end w:w="180" w:type="dxa"/>
            </w:tcMar>
            <w:tcBorders>
              <w:left w:val="single" w:sz="18" w:color="008C95"/>
            </w:tcBorders>
          </w:tcPr>
          <w:p>
            <w:pPr>
              <w:spacing w:after="40"/>
            </w:pPr>
            <w:r>
              <w:rPr>
                <w:rFonts w:ascii="Arial" w:hAnsi="Arial"/>
                <w:b/>
                <w:color w:val="008C95"/>
                <w:sz w:val="20"/>
              </w:rPr>
              <w:t>Write the request around access</w:t>
            </w:r>
          </w:p>
          <w:p>
            <w:pPr>
              <w:spacing w:after="0" w:line="252" w:lineRule="auto"/>
            </w:pPr>
            <w:r>
              <w:rPr>
                <w:rFonts w:ascii="Arial" w:hAnsi="Arial"/>
                <w:color w:val="22313A"/>
                <w:sz w:val="17"/>
              </w:rPr>
              <w:t>State the rule or feature creating the barrier, explain how it affects equal use, request a specific change and invite an effective alternative. Keep the request, supporting letter, response and deadline together.</w:t>
            </w:r>
          </w:p>
        </w:tc>
      </w:tr>
    </w:tbl>
    <w:p>
      <w:pPr>
        <w:spacing w:after="0"/>
      </w:pPr>
    </w:p>
    <w:p>
      <w:r>
        <w:br w:type="page"/>
      </w:r>
    </w:p>
    <w:p>
      <w:pPr>
        <w:spacing w:after="40"/>
      </w:pPr>
      <w:r>
        <w:rPr>
          <w:rFonts w:ascii="Arial" w:hAnsi="Arial"/>
          <w:b/>
          <w:color w:val="D95672"/>
          <w:sz w:val="16"/>
        </w:rPr>
        <w:t>06 • HEALTHCARE</w:t>
      </w:r>
    </w:p>
    <w:p>
      <w:pPr>
        <w:pStyle w:val="Heading1"/>
      </w:pPr>
      <w:r>
        <w:t>Make appointments easier to understand and use</w:t>
      </w:r>
    </w:p>
    <w:p>
      <w:pPr>
        <w:spacing w:after="160" w:line="259" w:lineRule="auto"/>
      </w:pPr>
      <w:r>
        <w:rPr>
          <w:rFonts w:ascii="Arial" w:hAnsi="Arial"/>
          <w:color w:val="5F6C72"/>
          <w:sz w:val="20"/>
        </w:rPr>
        <w:t>Section 1557 and other disability laws apply to many health programs and providers. Covered entities may need to ensure effective communication, provide auxiliary aids and make reasonable policy changes unless a legal exception applies. [6]</w:t>
      </w:r>
    </w:p>
    <w:p>
      <w:pPr>
        <w:pStyle w:val="Heading2"/>
      </w:pPr>
      <w:r>
        <w:t>Accommodation ideas to discuss</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6"/>
              </w:rPr>
              <w:t>Barrier</w:t>
            </w:r>
          </w:p>
        </w:tc>
        <w:tc>
          <w:tcPr>
            <w:tcW w:type="dxa" w:w="8136"/>
            <w:shd w:fill="4B2A73"/>
            <w:tcMar>
              <w:top w:w="90" w:type="dxa"/>
              <w:start w:w="100" w:type="dxa"/>
              <w:bottom w:w="90" w:type="dxa"/>
              <w:end w:w="100" w:type="dxa"/>
            </w:tcMar>
          </w:tcPr>
          <w:p>
            <w:pPr>
              <w:spacing w:after="0"/>
            </w:pPr>
            <w:r>
              <w:rPr>
                <w:rFonts w:ascii="Arial" w:hAnsi="Arial"/>
                <w:b/>
                <w:color w:val="FFFFFF"/>
                <w:sz w:val="16"/>
              </w:rPr>
              <w:t>Possible request</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Waiting-room overload</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A quieter waiting location, first or last appointment, text-on-arrival or permission to wait outside.</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6"/>
              </w:rPr>
              <w:t>Fast verbal instructions</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6"/>
              </w:rPr>
              <w:t>Plain-language written instructions, one topic at a time, teach-back or a follow-up message.</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Communication access</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AAC access, typing, extra response time, captioning, an interpreter or another appropriate auxiliary aid.</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6"/>
              </w:rPr>
              <w:t>Decision support</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6"/>
              </w:rPr>
              <w:t>A trusted support person when needed for equal access, while preserving the adult patient’s privacy and decision-making rights.</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Procedural distress</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A step-by-step preview, sensory adjustments, additional time or a planned pause when medically safe.</w:t>
            </w:r>
          </w:p>
        </w:tc>
      </w:tr>
    </w:tbl>
    <w:p>
      <w:pPr>
        <w:spacing w:after="0"/>
      </w:pPr>
    </w:p>
    <w:p>
      <w:pPr>
        <w:pStyle w:val="Heading2"/>
      </w:pPr>
      <w:r>
        <w:t>Before the appointment</w:t>
      </w:r>
    </w:p>
    <w:p>
      <w:pPr>
        <w:pStyle w:val="ListBullet"/>
        <w:spacing w:after="80" w:line="247" w:lineRule="auto"/>
        <w:ind w:left="360" w:hanging="187"/>
      </w:pPr>
      <w:r>
        <w:rPr>
          <w:rFonts w:ascii="Arial" w:hAnsi="Arial"/>
          <w:color w:val="22313A"/>
          <w:sz w:val="18"/>
        </w:rPr>
        <w:t>Send the request through the clinic portal or accessibility contact and ask for confirmation.</w:t>
      </w:r>
    </w:p>
    <w:p>
      <w:pPr>
        <w:pStyle w:val="ListBullet"/>
        <w:spacing w:after="80" w:line="247" w:lineRule="auto"/>
        <w:ind w:left="360" w:hanging="187"/>
      </w:pPr>
      <w:r>
        <w:rPr>
          <w:rFonts w:ascii="Arial" w:hAnsi="Arial"/>
          <w:color w:val="22313A"/>
          <w:sz w:val="18"/>
        </w:rPr>
        <w:t>Bring a one-page access profile, medication list, priority questions and the name of the person who may receive information.</w:t>
      </w:r>
    </w:p>
    <w:p>
      <w:pPr>
        <w:pStyle w:val="ListBullet"/>
        <w:spacing w:after="80" w:line="247" w:lineRule="auto"/>
        <w:ind w:left="360" w:hanging="187"/>
      </w:pPr>
      <w:r>
        <w:rPr>
          <w:rFonts w:ascii="Arial" w:hAnsi="Arial"/>
          <w:color w:val="22313A"/>
          <w:sz w:val="18"/>
        </w:rPr>
        <w:t>Ask the provider to document agreed communication or sensory accommodations in the chart for future visits.</w:t>
      </w:r>
    </w:p>
    <w:p>
      <w:pPr>
        <w:pStyle w:val="ListBullet"/>
        <w:spacing w:after="80" w:line="247" w:lineRule="auto"/>
        <w:ind w:left="360" w:hanging="187"/>
      </w:pPr>
      <w:r>
        <w:rPr>
          <w:rFonts w:ascii="Arial" w:hAnsi="Arial"/>
          <w:color w:val="22313A"/>
          <w:sz w:val="18"/>
        </w:rPr>
        <w:t>If access is denied, ask for the Section 1557/504 coordinator or patient advocate and the written grievance process. HHS Office for Civil Rights accepts complaints involving covered entities.</w:t>
      </w:r>
    </w:p>
    <w:tbl>
      <w:tblPr>
        <w:tblW w:type="auto" w:w="0"/>
        <w:jc w:val="center"/>
        <w:tblLayout w:type="fixed"/>
        <w:tblLook w:firstColumn="1" w:firstRow="1" w:lastColumn="0" w:lastRow="0" w:noHBand="0" w:noVBand="1" w:val="04A0"/>
      </w:tblPr>
      <w:tblGrid>
        <w:gridCol w:w="10282"/>
      </w:tblGrid>
      <w:tr>
        <w:tc>
          <w:tcPr>
            <w:tcW w:type="dxa" w:w="10282"/>
            <w:shd w:fill="F2ECF8"/>
            <w:tcMar>
              <w:top w:w="130" w:type="dxa"/>
              <w:start w:w="180" w:type="dxa"/>
              <w:bottom w:w="130" w:type="dxa"/>
              <w:end w:w="180" w:type="dxa"/>
            </w:tcMar>
            <w:tcBorders>
              <w:left w:val="single" w:sz="18" w:color="4B2A73"/>
            </w:tcBorders>
          </w:tcPr>
          <w:p>
            <w:pPr>
              <w:spacing w:after="40"/>
            </w:pPr>
            <w:r>
              <w:rPr>
                <w:rFonts w:ascii="Arial" w:hAnsi="Arial"/>
                <w:b/>
                <w:color w:val="4B2A73"/>
                <w:sz w:val="20"/>
              </w:rPr>
              <w:t>Care still must be individualized</w:t>
            </w:r>
          </w:p>
          <w:p>
            <w:pPr>
              <w:spacing w:after="0" w:line="252" w:lineRule="auto"/>
            </w:pPr>
            <w:r>
              <w:rPr>
                <w:rFonts w:ascii="Arial" w:hAnsi="Arial"/>
                <w:color w:val="22313A"/>
                <w:sz w:val="17"/>
              </w:rPr>
              <w:t>A diagnosis does not create a right to a particular treatment. It can help a care team understand communication, sensory and decision-support needs. Seek a clinician experienced with adult autism and co-occurring conditions when possible. [1][6]</w:t>
            </w:r>
          </w:p>
        </w:tc>
      </w:tr>
    </w:tbl>
    <w:p>
      <w:pPr>
        <w:spacing w:after="0"/>
      </w:pPr>
    </w:p>
    <w:p>
      <w:r>
        <w:br w:type="page"/>
      </w:r>
    </w:p>
    <w:p>
      <w:pPr>
        <w:spacing w:after="40"/>
      </w:pPr>
      <w:r>
        <w:rPr>
          <w:rFonts w:ascii="Arial" w:hAnsi="Arial"/>
          <w:b/>
          <w:color w:val="D95672"/>
          <w:sz w:val="16"/>
        </w:rPr>
        <w:t>07 • POSSIBLE SUPPORTS</w:t>
      </w:r>
    </w:p>
    <w:p>
      <w:pPr>
        <w:pStyle w:val="Heading1"/>
      </w:pPr>
      <w:r>
        <w:t>Explore programs without assuming eligibility</w:t>
      </w:r>
    </w:p>
    <w:p>
      <w:pPr>
        <w:spacing w:after="160" w:line="259" w:lineRule="auto"/>
      </w:pPr>
      <w:r>
        <w:rPr>
          <w:rFonts w:ascii="Arial" w:hAnsi="Arial"/>
          <w:color w:val="5F6C72"/>
          <w:sz w:val="20"/>
        </w:rPr>
        <w:t>Think of this as a screening list—not a promise. Each program uses separate medical, financial, onset, work-history and functional criteria.</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5"/>
              </w:rPr>
              <w:t>Program</w:t>
            </w:r>
          </w:p>
        </w:tc>
        <w:tc>
          <w:tcPr>
            <w:tcW w:type="dxa" w:w="8136"/>
            <w:shd w:fill="4B2A73"/>
            <w:tcMar>
              <w:top w:w="90" w:type="dxa"/>
              <w:start w:w="100" w:type="dxa"/>
              <w:bottom w:w="90" w:type="dxa"/>
              <w:end w:w="100" w:type="dxa"/>
            </w:tcMar>
          </w:tcPr>
          <w:p>
            <w:pPr>
              <w:spacing w:after="0"/>
            </w:pPr>
            <w:r>
              <w:rPr>
                <w:rFonts w:ascii="Arial" w:hAnsi="Arial"/>
                <w:b/>
                <w:color w:val="FFFFFF"/>
                <w:sz w:val="15"/>
              </w:rPr>
              <w:t>What it may offer / key rule</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SSI</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Monthly payments for some people with a qualifying disability and limited income/resources. Social Security separately evaluates finances, work and disability. [7]</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SSDI</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Benefits for some workers with enough recent Social Security work history and a disability meeting SSA’s strict work standard. [8]</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Disabled Adult Child benefit</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A possible Social Security benefit on a parent’s record when disability began before age 22 and other rules are met.</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Arizona DDD</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Autism is a qualifying diagnosis, but DDD also requires developmental onset before 18 and significant limitations in at least three listed daily-life areas. Adult diagnosis may still be considered when evidence supports earlier onset. [9]</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Arizona VR</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Employment-related services when a disability creates a barrier and VR services are needed and can help reach a job goal. [10]</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AHCCCS / Nutrition Assistance</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Health coverage and food assistance through separate income, household and program rules. Health-e-Arizona Plus is the state application portal. [11]</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AZ ABLE</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A tax-advantaged account for eligible Arizona residents whose disability began before age 46 and meets duration/certification rules. [12]</w:t>
            </w:r>
          </w:p>
        </w:tc>
      </w:tr>
    </w:tbl>
    <w:p>
      <w:pPr>
        <w:spacing w:after="0"/>
      </w:pPr>
    </w:p>
    <w:p>
      <w:pPr>
        <w:pStyle w:val="Heading2"/>
      </w:pPr>
      <w:r>
        <w:t>Make an evidence map</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5"/>
              </w:rPr>
              <w:t>Question</w:t>
            </w:r>
          </w:p>
        </w:tc>
        <w:tc>
          <w:tcPr>
            <w:tcW w:type="dxa" w:w="8136"/>
            <w:shd w:fill="4B2A73"/>
            <w:tcMar>
              <w:top w:w="90" w:type="dxa"/>
              <w:start w:w="100" w:type="dxa"/>
              <w:bottom w:w="90" w:type="dxa"/>
              <w:end w:w="100" w:type="dxa"/>
            </w:tcMar>
          </w:tcPr>
          <w:p>
            <w:pPr>
              <w:spacing w:after="0"/>
            </w:pPr>
            <w:r>
              <w:rPr>
                <w:rFonts w:ascii="Arial" w:hAnsi="Arial"/>
                <w:b/>
                <w:color w:val="FFFFFF"/>
                <w:sz w:val="15"/>
              </w:rPr>
              <w:t>Records to consider</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When did it begin?</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School records, developmental history, early medical records, family observations and prior evaluations.</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What is hard now?</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Work history, attendance, daily-living examples, treatment notes, functional testing and third-party observations.</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What has been tried?</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Accommodations, supports, job changes, reduced hours, assistive technology, treatment and outcomes.</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What rule applies?</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The current application, policy, decision notice and appeal deadline—not a general online summary alone.</w:t>
            </w:r>
          </w:p>
        </w:tc>
      </w:tr>
    </w:tbl>
    <w:p>
      <w:pPr>
        <w:spacing w:after="0"/>
      </w:pPr>
    </w:p>
    <w:tbl>
      <w:tblPr>
        <w:tblW w:type="auto" w:w="0"/>
        <w:jc w:val="center"/>
        <w:tblLayout w:type="fixed"/>
        <w:tblLook w:firstColumn="1" w:firstRow="1" w:lastColumn="0" w:lastRow="0" w:noHBand="0" w:noVBand="1" w:val="04A0"/>
      </w:tblPr>
      <w:tblGrid>
        <w:gridCol w:w="10282"/>
      </w:tblGrid>
      <w:tr>
        <w:tc>
          <w:tcPr>
            <w:tcW w:type="dxa" w:w="10282"/>
            <w:shd w:fill="FFF5DA"/>
            <w:tcMar>
              <w:top w:w="130" w:type="dxa"/>
              <w:start w:w="180" w:type="dxa"/>
              <w:bottom w:w="130" w:type="dxa"/>
              <w:end w:w="180" w:type="dxa"/>
            </w:tcMar>
            <w:tcBorders>
              <w:left w:val="single" w:sz="18" w:color="E3A52B"/>
            </w:tcBorders>
          </w:tcPr>
          <w:p>
            <w:pPr>
              <w:spacing w:after="40"/>
            </w:pPr>
            <w:r>
              <w:rPr>
                <w:rFonts w:ascii="Arial" w:hAnsi="Arial"/>
                <w:b/>
                <w:color w:val="E3A52B"/>
                <w:sz w:val="20"/>
              </w:rPr>
              <w:t>Diagnosis date ≠ disability onset</w:t>
            </w:r>
          </w:p>
          <w:p>
            <w:pPr>
              <w:spacing w:after="0" w:line="252" w:lineRule="auto"/>
            </w:pPr>
            <w:r>
              <w:rPr>
                <w:rFonts w:ascii="Arial" w:hAnsi="Arial"/>
                <w:color w:val="22313A"/>
                <w:sz w:val="17"/>
              </w:rPr>
              <w:t>This distinction matters for Arizona DDD, Social Security Disabled Adult Child benefits and AZ ABLE. Ask the evaluator to describe developmental history and the evidence supporting when characteristics and functional limitations began.</w:t>
            </w:r>
          </w:p>
        </w:tc>
      </w:tr>
    </w:tbl>
    <w:p>
      <w:pPr>
        <w:spacing w:after="0"/>
      </w:pPr>
    </w:p>
    <w:p>
      <w:r>
        <w:br w:type="page"/>
      </w:r>
    </w:p>
    <w:p>
      <w:pPr>
        <w:spacing w:after="40"/>
      </w:pPr>
      <w:r>
        <w:rPr>
          <w:rFonts w:ascii="Arial" w:hAnsi="Arial"/>
          <w:b/>
          <w:color w:val="D95672"/>
          <w:sz w:val="16"/>
        </w:rPr>
        <w:t>08 • SELF-ADVOCACY</w:t>
      </w:r>
    </w:p>
    <w:p>
      <w:pPr>
        <w:pStyle w:val="Heading1"/>
      </w:pPr>
      <w:r>
        <w:t>Create a paper trail and preserve appeal options</w:t>
      </w:r>
    </w:p>
    <w:p>
      <w:pPr>
        <w:spacing w:after="160" w:line="259" w:lineRule="auto"/>
      </w:pPr>
      <w:r>
        <w:rPr>
          <w:rFonts w:ascii="Arial" w:hAnsi="Arial"/>
          <w:color w:val="5F6C72"/>
          <w:sz w:val="20"/>
        </w:rPr>
        <w:t>The goal is not to sound legal. The goal is to be specific, timely and easy to understand.</w:t>
      </w:r>
    </w:p>
    <w:p>
      <w:pPr>
        <w:pStyle w:val="Heading2"/>
      </w:pPr>
      <w:r>
        <w:t>Use this eight-step sequence</w:t>
      </w:r>
    </w:p>
    <w:p>
      <w:pPr>
        <w:spacing w:after="80"/>
        <w:ind w:left="389" w:hanging="216"/>
      </w:pPr>
      <w:r>
        <w:rPr>
          <w:rFonts w:ascii="Arial" w:hAnsi="Arial"/>
          <w:sz w:val="17"/>
        </w:rPr>
        <w:t>1.  Name the barrier with an observable example.</w:t>
      </w:r>
    </w:p>
    <w:p>
      <w:pPr>
        <w:spacing w:after="80"/>
        <w:ind w:left="389" w:hanging="216"/>
      </w:pPr>
      <w:r>
        <w:rPr>
          <w:rFonts w:ascii="Arial" w:hAnsi="Arial"/>
          <w:sz w:val="17"/>
        </w:rPr>
        <w:t>2.  Identify the change, service or benefit you are requesting.</w:t>
      </w:r>
    </w:p>
    <w:p>
      <w:pPr>
        <w:spacing w:after="80"/>
        <w:ind w:left="389" w:hanging="216"/>
      </w:pPr>
      <w:r>
        <w:rPr>
          <w:rFonts w:ascii="Arial" w:hAnsi="Arial"/>
          <w:sz w:val="17"/>
        </w:rPr>
        <w:t>3.  Connect the request to disability-related function, not personal preference alone.</w:t>
      </w:r>
    </w:p>
    <w:p>
      <w:pPr>
        <w:spacing w:after="80"/>
        <w:ind w:left="389" w:hanging="216"/>
      </w:pPr>
      <w:r>
        <w:rPr>
          <w:rFonts w:ascii="Arial" w:hAnsi="Arial"/>
          <w:sz w:val="17"/>
        </w:rPr>
        <w:t>4.  Follow the organization’s process, but submit a dated written request whenever possible.</w:t>
      </w:r>
    </w:p>
    <w:p>
      <w:pPr>
        <w:spacing w:after="80"/>
        <w:ind w:left="389" w:hanging="216"/>
      </w:pPr>
      <w:r>
        <w:rPr>
          <w:rFonts w:ascii="Arial" w:hAnsi="Arial"/>
          <w:sz w:val="17"/>
        </w:rPr>
        <w:t>5.  Provide only the documentation reasonably required for that decision.</w:t>
      </w:r>
    </w:p>
    <w:p>
      <w:pPr>
        <w:spacing w:after="80"/>
        <w:ind w:left="389" w:hanging="216"/>
      </w:pPr>
      <w:r>
        <w:rPr>
          <w:rFonts w:ascii="Arial" w:hAnsi="Arial"/>
          <w:sz w:val="17"/>
        </w:rPr>
        <w:t>6.  Ask for a written response, reason and effective alternative if the preferred request is denied.</w:t>
      </w:r>
    </w:p>
    <w:p>
      <w:pPr>
        <w:spacing w:after="80"/>
        <w:ind w:left="389" w:hanging="216"/>
      </w:pPr>
      <w:r>
        <w:rPr>
          <w:rFonts w:ascii="Arial" w:hAnsi="Arial"/>
          <w:sz w:val="17"/>
        </w:rPr>
        <w:t>7.  Read the appeal or grievance instructions immediately; calendar every deadline.</w:t>
      </w:r>
    </w:p>
    <w:p>
      <w:pPr>
        <w:spacing w:after="80"/>
        <w:ind w:left="389" w:hanging="216"/>
      </w:pPr>
      <w:r>
        <w:rPr>
          <w:rFonts w:ascii="Arial" w:hAnsi="Arial"/>
          <w:sz w:val="17"/>
        </w:rPr>
        <w:t>8.  Contact an advocate or enforcement agency early. Waiting for an internal process may not pause an outside filing deadline.</w:t>
      </w:r>
    </w:p>
    <w:p>
      <w:pPr>
        <w:pStyle w:val="Heading2"/>
      </w:pPr>
      <w:r>
        <w:t>Where to escalate</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5"/>
              </w:rPr>
              <w:t>Issue</w:t>
            </w:r>
          </w:p>
        </w:tc>
        <w:tc>
          <w:tcPr>
            <w:tcW w:type="dxa" w:w="8136"/>
            <w:shd w:fill="4B2A73"/>
            <w:tcMar>
              <w:top w:w="90" w:type="dxa"/>
              <w:start w:w="100" w:type="dxa"/>
              <w:bottom w:w="90" w:type="dxa"/>
              <w:end w:w="100" w:type="dxa"/>
            </w:tcMar>
          </w:tcPr>
          <w:p>
            <w:pPr>
              <w:spacing w:after="0"/>
            </w:pPr>
            <w:r>
              <w:rPr>
                <w:rFonts w:ascii="Arial" w:hAnsi="Arial"/>
                <w:b/>
                <w:color w:val="FFFFFF"/>
                <w:sz w:val="15"/>
              </w:rPr>
              <w:t>Starting points</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Workplace discrimination</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Employer process → EEOC Phoenix or Arizona Attorney General. AZ AG lists 180 days; EEOC generally lists 300 days in Arizona for covered employers. Act promptly.</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Housing discrimination</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Housing provider → HUD or Arizona Attorney General. AZ AG lists one year.</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Business / public-service access</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ADA or agency coordinator → U.S. DOJ ADA complaint or Arizona Attorney General. AZ AG lists 180 days for public accommodations.</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College or training</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Disability services / 504 coordinator → school grievance → U.S. Department of Education OCR.</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Healthcare access</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Patient advocate / 1557 or 504 coordinator → HHS Office for Civil Rights.</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5"/>
              </w:rPr>
              <w:t>VR decision</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5"/>
              </w:rPr>
              <w:t>Arizona VR supervisor, mediation or fair hearing; DES currently states a written appeal request is due within 20 calendar days.</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5"/>
              </w:rPr>
              <w:t>Benefit / DDD denial</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5"/>
              </w:rPr>
              <w:t>Follow the decision notice. Request the case record, reason, deadline and appeal method immediately.</w:t>
            </w:r>
          </w:p>
        </w:tc>
      </w:tr>
    </w:tbl>
    <w:p>
      <w:pPr>
        <w:spacing w:after="0"/>
      </w:pPr>
    </w:p>
    <w:tbl>
      <w:tblPr>
        <w:tblW w:type="auto" w:w="0"/>
        <w:jc w:val="center"/>
        <w:tblLayout w:type="fixed"/>
        <w:tblLook w:firstColumn="1" w:firstRow="1" w:lastColumn="0" w:lastRow="0" w:noHBand="0" w:noVBand="1" w:val="04A0"/>
      </w:tblPr>
      <w:tblGrid>
        <w:gridCol w:w="10282"/>
      </w:tblGrid>
      <w:tr>
        <w:tc>
          <w:tcPr>
            <w:tcW w:type="dxa" w:w="10282"/>
            <w:shd w:fill="F2ECF8"/>
            <w:tcMar>
              <w:top w:w="130" w:type="dxa"/>
              <w:start w:w="180" w:type="dxa"/>
              <w:bottom w:w="130" w:type="dxa"/>
              <w:end w:w="180" w:type="dxa"/>
            </w:tcMar>
            <w:tcBorders>
              <w:left w:val="single" w:sz="18" w:color="4B2A73"/>
            </w:tcBorders>
          </w:tcPr>
          <w:p>
            <w:pPr>
              <w:spacing w:after="40"/>
            </w:pPr>
            <w:r>
              <w:rPr>
                <w:rFonts w:ascii="Arial" w:hAnsi="Arial"/>
                <w:b/>
                <w:color w:val="4B2A73"/>
                <w:sz w:val="20"/>
              </w:rPr>
              <w:t>Arizona advocacy</w:t>
            </w:r>
          </w:p>
          <w:p>
            <w:pPr>
              <w:spacing w:after="0" w:line="252" w:lineRule="auto"/>
            </w:pPr>
            <w:r>
              <w:rPr>
                <w:rFonts w:ascii="Arial" w:hAnsi="Arial"/>
                <w:color w:val="22313A"/>
                <w:sz w:val="17"/>
              </w:rPr>
              <w:t>Disability Rights Arizona provides protection-and-advocacy information and may offer legal advocacy depending on issue, eligibility, priorities and capacity. A listing is not a promise of representation. [15]</w:t>
            </w:r>
          </w:p>
        </w:tc>
      </w:tr>
    </w:tbl>
    <w:p>
      <w:pPr>
        <w:spacing w:after="0"/>
      </w:pPr>
    </w:p>
    <w:p>
      <w:r>
        <w:br w:type="page"/>
      </w:r>
    </w:p>
    <w:p>
      <w:pPr>
        <w:spacing w:after="40"/>
      </w:pPr>
      <w:r>
        <w:rPr>
          <w:rFonts w:ascii="Arial" w:hAnsi="Arial"/>
          <w:b/>
          <w:color w:val="D95672"/>
          <w:sz w:val="16"/>
        </w:rPr>
        <w:t>09 • TEMPLATES</w:t>
      </w:r>
    </w:p>
    <w:p>
      <w:pPr>
        <w:pStyle w:val="Heading1"/>
      </w:pPr>
      <w:r>
        <w:t>Put your request into words</w:t>
      </w:r>
    </w:p>
    <w:p>
      <w:pPr>
        <w:spacing w:after="160" w:line="259" w:lineRule="auto"/>
      </w:pPr>
      <w:r>
        <w:rPr>
          <w:rFonts w:ascii="Arial" w:hAnsi="Arial"/>
          <w:color w:val="5F6C72"/>
          <w:sz w:val="20"/>
        </w:rPr>
        <w:t>Edit these examples to match the setting and the organization’s procedure. Keep a dated copy.</w:t>
      </w:r>
    </w:p>
    <w:p>
      <w:pPr>
        <w:pStyle w:val="Heading2"/>
      </w:pPr>
      <w:r>
        <w:t>Accommodation request</w:t>
      </w:r>
    </w:p>
    <w:tbl>
      <w:tblPr>
        <w:tblW w:type="auto" w:w="0"/>
        <w:jc w:val="center"/>
        <w:tblLayout w:type="fixed"/>
        <w:tblLook w:firstColumn="1" w:firstRow="1" w:lastColumn="0" w:lastRow="0" w:noHBand="0" w:noVBand="1" w:val="04A0"/>
      </w:tblPr>
      <w:tblGrid>
        <w:gridCol w:w="10282"/>
      </w:tblGrid>
      <w:tr>
        <w:tc>
          <w:tcPr>
            <w:tcW w:type="dxa" w:w="10282"/>
            <w:shd w:fill="EAF7F6"/>
            <w:tcMar>
              <w:top w:w="130" w:type="dxa"/>
              <w:start w:w="180" w:type="dxa"/>
              <w:bottom w:w="130" w:type="dxa"/>
              <w:end w:w="180" w:type="dxa"/>
            </w:tcMar>
            <w:tcBorders>
              <w:left w:val="single" w:sz="18" w:color="008C95"/>
            </w:tcBorders>
          </w:tcPr>
          <w:p>
            <w:pPr>
              <w:spacing w:after="40"/>
            </w:pPr>
            <w:r>
              <w:rPr>
                <w:rFonts w:ascii="Arial" w:hAnsi="Arial"/>
                <w:b/>
                <w:color w:val="008C95"/>
                <w:sz w:val="20"/>
              </w:rPr>
              <w:t>Subject: Request for disability-related accommodation</w:t>
            </w:r>
          </w:p>
          <w:p>
            <w:pPr>
              <w:spacing w:after="0" w:line="252" w:lineRule="auto"/>
            </w:pPr>
            <w:r>
              <w:rPr>
                <w:rFonts w:ascii="Arial" w:hAnsi="Arial"/>
                <w:color w:val="22313A"/>
                <w:sz w:val="17"/>
              </w:rPr>
              <w:t>I am requesting a change because of a medical condition. The current [rule / environment / communication method] creates this barrier: [specific example]. I am requesting [specific change] because it would help me [perform an essential task / access the program / use the service]. I can provide reasonable documentation if needed. I am open to discussing effective alternatives. Please confirm the next step and expected response date.</w:t>
            </w:r>
          </w:p>
        </w:tc>
      </w:tr>
    </w:tbl>
    <w:p>
      <w:pPr>
        <w:spacing w:after="0"/>
      </w:pPr>
    </w:p>
    <w:p>
      <w:pPr>
        <w:pStyle w:val="Heading2"/>
      </w:pPr>
      <w:r>
        <w:t>Appeal or reconsideration request</w:t>
      </w:r>
    </w:p>
    <w:tbl>
      <w:tblPr>
        <w:tblW w:type="auto" w:w="0"/>
        <w:jc w:val="center"/>
        <w:tblLayout w:type="fixed"/>
        <w:tblLook w:firstColumn="1" w:firstRow="1" w:lastColumn="0" w:lastRow="0" w:noHBand="0" w:noVBand="1" w:val="04A0"/>
      </w:tblPr>
      <w:tblGrid>
        <w:gridCol w:w="10282"/>
      </w:tblGrid>
      <w:tr>
        <w:tc>
          <w:tcPr>
            <w:tcW w:type="dxa" w:w="10282"/>
            <w:shd w:fill="FFF5DA"/>
            <w:tcMar>
              <w:top w:w="130" w:type="dxa"/>
              <w:start w:w="180" w:type="dxa"/>
              <w:bottom w:w="130" w:type="dxa"/>
              <w:end w:w="180" w:type="dxa"/>
            </w:tcMar>
            <w:tcBorders>
              <w:left w:val="single" w:sz="18" w:color="E3A52B"/>
            </w:tcBorders>
          </w:tcPr>
          <w:p>
            <w:pPr>
              <w:spacing w:after="40"/>
            </w:pPr>
            <w:r>
              <w:rPr>
                <w:rFonts w:ascii="Arial" w:hAnsi="Arial"/>
                <w:b/>
                <w:color w:val="E3A52B"/>
                <w:sz w:val="20"/>
              </w:rPr>
              <w:t>Subject: Timely appeal of decision dated [date]</w:t>
            </w:r>
          </w:p>
          <w:p>
            <w:pPr>
              <w:spacing w:after="0" w:line="252" w:lineRule="auto"/>
            </w:pPr>
            <w:r>
              <w:rPr>
                <w:rFonts w:ascii="Arial" w:hAnsi="Arial"/>
                <w:color w:val="22313A"/>
                <w:sz w:val="17"/>
              </w:rPr>
              <w:t>I am appealing the decision dated [date] regarding [program / service / accommodation]. I disagree because [specific factual or policy reason]. Please treat this as a timely appeal, preserve all review rights, provide the complete case record and identify any additional evidence needed. My preferred resolution is [result], and I am open to an effective alternative. Please confirm receipt and the next deadline.</w:t>
            </w:r>
          </w:p>
        </w:tc>
      </w:tr>
    </w:tbl>
    <w:p>
      <w:pPr>
        <w:spacing w:after="0"/>
      </w:pPr>
    </w:p>
    <w:p>
      <w:pPr>
        <w:pStyle w:val="Heading2"/>
      </w:pPr>
      <w:r>
        <w:t>Incident / barrier record</w:t>
      </w:r>
    </w:p>
    <w:tbl>
      <w:tblPr>
        <w:tblW w:type="auto" w:w="0"/>
        <w:jc w:val="center"/>
        <w:tblLayout w:type="fixed"/>
        <w:tblLook w:firstColumn="1" w:firstRow="1" w:lastColumn="0" w:lastRow="0" w:noHBand="0" w:noVBand="1" w:val="04A0"/>
      </w:tblPr>
      <w:tblGrid>
        <w:gridCol w:w="5141"/>
        <w:gridCol w:w="5141"/>
      </w:tblGrid>
      <w:tr>
        <w:trPr>
          <w:tblHeader w:val="true"/>
        </w:trPr>
        <w:tc>
          <w:tcPr>
            <w:tcW w:type="dxa" w:w="2232"/>
            <w:shd w:fill="4B2A73"/>
            <w:tcMar>
              <w:top w:w="90" w:type="dxa"/>
              <w:start w:w="100" w:type="dxa"/>
              <w:bottom w:w="90" w:type="dxa"/>
              <w:end w:w="100" w:type="dxa"/>
            </w:tcMar>
          </w:tcPr>
          <w:p>
            <w:pPr>
              <w:spacing w:after="0"/>
            </w:pPr>
            <w:r>
              <w:rPr>
                <w:rFonts w:ascii="Arial" w:hAnsi="Arial"/>
                <w:b/>
                <w:color w:val="FFFFFF"/>
                <w:sz w:val="16"/>
              </w:rPr>
              <w:t>Field</w:t>
            </w:r>
          </w:p>
        </w:tc>
        <w:tc>
          <w:tcPr>
            <w:tcW w:type="dxa" w:w="8136"/>
            <w:shd w:fill="4B2A73"/>
            <w:tcMar>
              <w:top w:w="90" w:type="dxa"/>
              <w:start w:w="100" w:type="dxa"/>
              <w:bottom w:w="90" w:type="dxa"/>
              <w:end w:w="100" w:type="dxa"/>
            </w:tcMar>
          </w:tcPr>
          <w:p>
            <w:pPr>
              <w:spacing w:after="0"/>
            </w:pPr>
            <w:r>
              <w:rPr>
                <w:rFonts w:ascii="Arial" w:hAnsi="Arial"/>
                <w:b/>
                <w:color w:val="FFFFFF"/>
                <w:sz w:val="16"/>
              </w:rPr>
              <w:t>Your notes</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Date, time, place</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6"/>
              </w:rPr>
              <w:t>People involved</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Barrier or statement</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br/>
              <w:t>____________________________________________________________</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6"/>
              </w:rPr>
              <w:t>Request made</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Response / witnesses</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r>
          </w:p>
        </w:tc>
      </w:tr>
      <w:tr>
        <w:tc>
          <w:tcPr>
            <w:tcW w:type="dxa" w:w="2232"/>
            <w:shd w:fill="EAF7F6"/>
            <w:tcMar>
              <w:top w:w="80" w:type="dxa"/>
              <w:start w:w="100" w:type="dxa"/>
              <w:bottom w:w="80" w:type="dxa"/>
              <w:end w:w="100" w:type="dxa"/>
            </w:tcMar>
          </w:tcPr>
          <w:p>
            <w:pPr>
              <w:spacing w:after="0" w:line="240" w:lineRule="auto"/>
            </w:pPr>
            <w:r>
              <w:rPr>
                <w:rFonts w:ascii="Arial" w:hAnsi="Arial"/>
                <w:color w:val="22313A"/>
                <w:sz w:val="16"/>
              </w:rPr>
              <w:t>Impact and follow-up</w:t>
            </w:r>
          </w:p>
        </w:tc>
        <w:tc>
          <w:tcPr>
            <w:tcW w:type="dxa" w:w="8136"/>
            <w:shd w:fill="EAF7F6"/>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br/>
              <w:t>____________________________________________________________</w:t>
            </w:r>
          </w:p>
        </w:tc>
      </w:tr>
      <w:tr>
        <w:tc>
          <w:tcPr>
            <w:tcW w:type="dxa" w:w="2232"/>
            <w:shd w:fill="FFF9F1"/>
            <w:tcMar>
              <w:top w:w="80" w:type="dxa"/>
              <w:start w:w="100" w:type="dxa"/>
              <w:bottom w:w="80" w:type="dxa"/>
              <w:end w:w="100" w:type="dxa"/>
            </w:tcMar>
          </w:tcPr>
          <w:p>
            <w:pPr>
              <w:spacing w:after="0" w:line="240" w:lineRule="auto"/>
            </w:pPr>
            <w:r>
              <w:rPr>
                <w:rFonts w:ascii="Arial" w:hAnsi="Arial"/>
                <w:color w:val="22313A"/>
                <w:sz w:val="16"/>
              </w:rPr>
              <w:t>Deadline / next step</w:t>
            </w:r>
          </w:p>
        </w:tc>
        <w:tc>
          <w:tcPr>
            <w:tcW w:type="dxa" w:w="8136"/>
            <w:shd w:fill="FFF9F1"/>
            <w:tcMar>
              <w:top w:w="80" w:type="dxa"/>
              <w:start w:w="100" w:type="dxa"/>
              <w:bottom w:w="80" w:type="dxa"/>
              <w:end w:w="100" w:type="dxa"/>
            </w:tcMar>
          </w:tcPr>
          <w:p>
            <w:pPr>
              <w:spacing w:after="0" w:line="240" w:lineRule="auto"/>
            </w:pPr>
            <w:r>
              <w:rPr>
                <w:rFonts w:ascii="Arial" w:hAnsi="Arial"/>
                <w:color w:val="22313A"/>
                <w:sz w:val="16"/>
              </w:rPr>
              <w:t>____________________________________________________________</w:t>
            </w:r>
          </w:p>
        </w:tc>
      </w:tr>
    </w:tbl>
    <w:p>
      <w:pPr>
        <w:spacing w:after="0"/>
      </w:pPr>
    </w:p>
    <w:tbl>
      <w:tblPr>
        <w:tblW w:type="auto" w:w="0"/>
        <w:jc w:val="center"/>
        <w:tblLayout w:type="fixed"/>
        <w:tblLook w:firstColumn="1" w:firstRow="1" w:lastColumn="0" w:lastRow="0" w:noHBand="0" w:noVBand="1" w:val="04A0"/>
      </w:tblPr>
      <w:tblGrid>
        <w:gridCol w:w="10282"/>
      </w:tblGrid>
      <w:tr>
        <w:tc>
          <w:tcPr>
            <w:tcW w:type="dxa" w:w="10282"/>
            <w:shd w:fill="F2ECF8"/>
            <w:tcMar>
              <w:top w:w="130" w:type="dxa"/>
              <w:start w:w="180" w:type="dxa"/>
              <w:bottom w:w="130" w:type="dxa"/>
              <w:end w:w="180" w:type="dxa"/>
            </w:tcMar>
            <w:tcBorders>
              <w:left w:val="single" w:sz="18" w:color="4B2A73"/>
            </w:tcBorders>
          </w:tcPr>
          <w:p>
            <w:pPr>
              <w:spacing w:after="40"/>
            </w:pPr>
            <w:r>
              <w:rPr>
                <w:rFonts w:ascii="Arial" w:hAnsi="Arial"/>
                <w:b/>
                <w:color w:val="4B2A73"/>
                <w:sz w:val="20"/>
              </w:rPr>
              <w:t>Safety and crisis</w:t>
            </w:r>
          </w:p>
          <w:p>
            <w:pPr>
              <w:spacing w:after="0" w:line="252" w:lineRule="auto"/>
            </w:pPr>
            <w:r>
              <w:rPr>
                <w:rFonts w:ascii="Arial" w:hAnsi="Arial"/>
                <w:color w:val="22313A"/>
                <w:sz w:val="17"/>
              </w:rPr>
              <w:t>For immediate danger, call 911. For emotional distress or mental-health crisis support, call or text 988. AHIAF is not an emergency, legal-services, healthcare or benefits-determination agency.</w:t>
            </w:r>
          </w:p>
        </w:tc>
      </w:tr>
    </w:tbl>
    <w:p>
      <w:pPr>
        <w:spacing w:after="0"/>
      </w:pPr>
    </w:p>
    <w:p>
      <w:r>
        <w:br w:type="page"/>
      </w:r>
    </w:p>
    <w:p>
      <w:pPr>
        <w:spacing w:after="40"/>
      </w:pPr>
      <w:r>
        <w:rPr>
          <w:rFonts w:ascii="Arial" w:hAnsi="Arial"/>
          <w:b/>
          <w:color w:val="D95672"/>
          <w:sz w:val="16"/>
        </w:rPr>
        <w:t>10 • OFFICIAL SOURCES</w:t>
      </w:r>
    </w:p>
    <w:p>
      <w:pPr>
        <w:pStyle w:val="Heading1"/>
      </w:pPr>
      <w:r>
        <w:t>Verify the current rule before you act</w:t>
      </w:r>
    </w:p>
    <w:p>
      <w:pPr>
        <w:spacing w:after="160" w:line="259" w:lineRule="auto"/>
      </w:pPr>
      <w:r>
        <w:rPr>
          <w:rFonts w:ascii="Arial" w:hAnsi="Arial"/>
          <w:color w:val="5F6C72"/>
          <w:sz w:val="20"/>
        </w:rPr>
        <w:t>These primary sources support the guide. Agency pages and filing deadlines can change; use the linked page rather than an old screenshot or social-media summary.</w:t>
      </w:r>
    </w:p>
    <w:p>
      <w:pPr>
        <w:spacing w:after="60"/>
        <w:ind w:left="259" w:hanging="259"/>
      </w:pPr>
      <w:r>
        <w:rPr>
          <w:rFonts w:ascii="Arial" w:hAnsi="Arial"/>
          <w:b/>
          <w:color w:val="D95672"/>
          <w:sz w:val="16"/>
        </w:rPr>
        <w:t xml:space="preserve">[1] </w:t>
      </w:r>
      <w:hyperlink r:id="rId11">
        <w:r>
          <w:rPr>
            <w:color w:val="008C95"/>
            <w:u w:val="single"/>
          </w:rPr>
          <w:t>National Institute of Mental Health — Autism Spectrum Disorder</w:t>
        </w:r>
      </w:hyperlink>
    </w:p>
    <w:p>
      <w:pPr>
        <w:spacing w:after="60"/>
        <w:ind w:left="259" w:hanging="259"/>
      </w:pPr>
      <w:r>
        <w:rPr>
          <w:rFonts w:ascii="Arial" w:hAnsi="Arial"/>
          <w:b/>
          <w:color w:val="D95672"/>
          <w:sz w:val="16"/>
        </w:rPr>
        <w:t xml:space="preserve">[2] </w:t>
      </w:r>
      <w:hyperlink r:id="rId12">
        <w:r>
          <w:rPr>
            <w:color w:val="008C95"/>
            <w:u w:val="single"/>
          </w:rPr>
          <w:t>Americans with Disabilities Act — law and regulations</w:t>
        </w:r>
      </w:hyperlink>
    </w:p>
    <w:p>
      <w:pPr>
        <w:spacing w:after="60"/>
        <w:ind w:left="259" w:hanging="259"/>
      </w:pPr>
      <w:r>
        <w:rPr>
          <w:rFonts w:ascii="Arial" w:hAnsi="Arial"/>
          <w:b/>
          <w:color w:val="D95672"/>
          <w:sz w:val="16"/>
        </w:rPr>
        <w:t xml:space="preserve">[3] </w:t>
      </w:r>
      <w:hyperlink r:id="rId13">
        <w:r>
          <w:rPr>
            <w:color w:val="008C95"/>
            <w:u w:val="single"/>
          </w:rPr>
          <w:t>U.S. EEOC — requesting reasonable accommodation</w:t>
        </w:r>
      </w:hyperlink>
    </w:p>
    <w:p>
      <w:pPr>
        <w:spacing w:after="60"/>
        <w:ind w:left="259" w:hanging="259"/>
      </w:pPr>
      <w:r>
        <w:rPr>
          <w:rFonts w:ascii="Arial" w:hAnsi="Arial"/>
          <w:b/>
          <w:color w:val="D95672"/>
          <w:sz w:val="16"/>
        </w:rPr>
        <w:t xml:space="preserve">[4] </w:t>
      </w:r>
      <w:hyperlink r:id="rId14">
        <w:r>
          <w:rPr>
            <w:color w:val="008C95"/>
            <w:u w:val="single"/>
          </w:rPr>
          <w:t>U.S. EEOC Phoenix — charge-filing time limits</w:t>
        </w:r>
      </w:hyperlink>
    </w:p>
    <w:p>
      <w:pPr>
        <w:spacing w:after="60"/>
        <w:ind w:left="259" w:hanging="259"/>
      </w:pPr>
      <w:r>
        <w:rPr>
          <w:rFonts w:ascii="Arial" w:hAnsi="Arial"/>
          <w:b/>
          <w:color w:val="D95672"/>
          <w:sz w:val="16"/>
        </w:rPr>
        <w:t xml:space="preserve">[5] </w:t>
      </w:r>
      <w:hyperlink r:id="rId15">
        <w:r>
          <w:rPr>
            <w:color w:val="008C95"/>
            <w:u w:val="single"/>
          </w:rPr>
          <w:t>U.S. Department of Education — postsecondary disability rights</w:t>
        </w:r>
      </w:hyperlink>
    </w:p>
    <w:p>
      <w:pPr>
        <w:spacing w:after="60"/>
        <w:ind w:left="259" w:hanging="259"/>
      </w:pPr>
      <w:r>
        <w:rPr>
          <w:rFonts w:ascii="Arial" w:hAnsi="Arial"/>
          <w:b/>
          <w:color w:val="D95672"/>
          <w:sz w:val="16"/>
        </w:rPr>
        <w:t xml:space="preserve">[6] </w:t>
      </w:r>
      <w:hyperlink r:id="rId16">
        <w:r>
          <w:rPr>
            <w:color w:val="008C95"/>
            <w:u w:val="single"/>
          </w:rPr>
          <w:t>HHS Office for Civil Rights — disability discrimination</w:t>
        </w:r>
      </w:hyperlink>
    </w:p>
    <w:p>
      <w:pPr>
        <w:spacing w:after="60"/>
        <w:ind w:left="259" w:hanging="259"/>
      </w:pPr>
      <w:r>
        <w:rPr>
          <w:rFonts w:ascii="Arial" w:hAnsi="Arial"/>
          <w:b/>
          <w:color w:val="D95672"/>
          <w:sz w:val="16"/>
        </w:rPr>
        <w:t xml:space="preserve">[7] </w:t>
      </w:r>
      <w:hyperlink r:id="rId17">
        <w:r>
          <w:rPr>
            <w:color w:val="008C95"/>
            <w:u w:val="single"/>
          </w:rPr>
          <w:t>Social Security — SSI</w:t>
        </w:r>
      </w:hyperlink>
    </w:p>
    <w:p>
      <w:pPr>
        <w:spacing w:after="60"/>
        <w:ind w:left="259" w:hanging="259"/>
      </w:pPr>
      <w:r>
        <w:rPr>
          <w:rFonts w:ascii="Arial" w:hAnsi="Arial"/>
          <w:b/>
          <w:color w:val="D95672"/>
          <w:sz w:val="16"/>
        </w:rPr>
        <w:t xml:space="preserve">[8] </w:t>
      </w:r>
      <w:hyperlink r:id="rId18">
        <w:r>
          <w:rPr>
            <w:color w:val="008C95"/>
            <w:u w:val="single"/>
          </w:rPr>
          <w:t>Social Security — disability eligibility</w:t>
        </w:r>
      </w:hyperlink>
    </w:p>
    <w:p>
      <w:pPr>
        <w:spacing w:after="60"/>
        <w:ind w:left="259" w:hanging="259"/>
      </w:pPr>
      <w:r>
        <w:rPr>
          <w:rFonts w:ascii="Arial" w:hAnsi="Arial"/>
          <w:b/>
          <w:color w:val="D95672"/>
          <w:sz w:val="16"/>
        </w:rPr>
        <w:t xml:space="preserve">[9] </w:t>
      </w:r>
      <w:hyperlink r:id="rId19">
        <w:r>
          <w:rPr>
            <w:color w:val="008C95"/>
            <w:u w:val="single"/>
          </w:rPr>
          <w:t>Arizona DES — DDD eligibility, age 6 through adulthood</w:t>
        </w:r>
      </w:hyperlink>
    </w:p>
    <w:p>
      <w:pPr>
        <w:spacing w:after="60"/>
        <w:ind w:left="259" w:hanging="259"/>
      </w:pPr>
      <w:r>
        <w:rPr>
          <w:rFonts w:ascii="Arial" w:hAnsi="Arial"/>
          <w:b/>
          <w:color w:val="D95672"/>
          <w:sz w:val="16"/>
        </w:rPr>
        <w:t xml:space="preserve">[10] </w:t>
      </w:r>
      <w:hyperlink r:id="rId20">
        <w:r>
          <w:rPr>
            <w:color w:val="008C95"/>
            <w:u w:val="single"/>
          </w:rPr>
          <w:t>Arizona DES — Vocational Rehabilitation</w:t>
        </w:r>
      </w:hyperlink>
    </w:p>
    <w:p>
      <w:pPr>
        <w:spacing w:after="60"/>
        <w:ind w:left="259" w:hanging="259"/>
      </w:pPr>
      <w:r>
        <w:rPr>
          <w:rFonts w:ascii="Arial" w:hAnsi="Arial"/>
          <w:b/>
          <w:color w:val="D95672"/>
          <w:sz w:val="16"/>
        </w:rPr>
        <w:t xml:space="preserve">[11] </w:t>
      </w:r>
      <w:hyperlink r:id="rId21">
        <w:r>
          <w:rPr>
            <w:color w:val="008C95"/>
            <w:u w:val="single"/>
          </w:rPr>
          <w:t>Health-e-Arizona Plus — AHCCCS and Nutrition Assistance applications</w:t>
        </w:r>
      </w:hyperlink>
    </w:p>
    <w:p>
      <w:pPr>
        <w:spacing w:after="60"/>
        <w:ind w:left="259" w:hanging="259"/>
      </w:pPr>
      <w:r>
        <w:rPr>
          <w:rFonts w:ascii="Arial" w:hAnsi="Arial"/>
          <w:b/>
          <w:color w:val="D95672"/>
          <w:sz w:val="16"/>
        </w:rPr>
        <w:t xml:space="preserve">[12] </w:t>
      </w:r>
      <w:hyperlink r:id="rId22">
        <w:r>
          <w:rPr>
            <w:color w:val="008C95"/>
            <w:u w:val="single"/>
          </w:rPr>
          <w:t>AZ ABLE — eligibility</w:t>
        </w:r>
      </w:hyperlink>
    </w:p>
    <w:p>
      <w:pPr>
        <w:spacing w:after="60"/>
        <w:ind w:left="259" w:hanging="259"/>
      </w:pPr>
      <w:r>
        <w:rPr>
          <w:rFonts w:ascii="Arial" w:hAnsi="Arial"/>
          <w:b/>
          <w:color w:val="D95672"/>
          <w:sz w:val="16"/>
        </w:rPr>
        <w:t xml:space="preserve">[13] </w:t>
      </w:r>
      <w:hyperlink r:id="rId23">
        <w:r>
          <w:rPr>
            <w:color w:val="008C95"/>
            <w:u w:val="single"/>
          </w:rPr>
          <w:t>Arizona Attorney General — civil-rights FAQs and deadlines</w:t>
        </w:r>
      </w:hyperlink>
    </w:p>
    <w:p>
      <w:pPr>
        <w:spacing w:after="60"/>
        <w:ind w:left="259" w:hanging="259"/>
      </w:pPr>
      <w:r>
        <w:rPr>
          <w:rFonts w:ascii="Arial" w:hAnsi="Arial"/>
          <w:b/>
          <w:color w:val="D95672"/>
          <w:sz w:val="16"/>
        </w:rPr>
        <w:t xml:space="preserve">[14] </w:t>
      </w:r>
      <w:hyperlink r:id="rId24">
        <w:r>
          <w:rPr>
            <w:color w:val="008C95"/>
            <w:u w:val="single"/>
          </w:rPr>
          <w:t>Arizona Attorney General — civil-rights intake</w:t>
        </w:r>
      </w:hyperlink>
    </w:p>
    <w:p>
      <w:pPr>
        <w:spacing w:after="60"/>
        <w:ind w:left="259" w:hanging="259"/>
      </w:pPr>
      <w:r>
        <w:rPr>
          <w:rFonts w:ascii="Arial" w:hAnsi="Arial"/>
          <w:b/>
          <w:color w:val="D95672"/>
          <w:sz w:val="16"/>
        </w:rPr>
        <w:t xml:space="preserve">[15] </w:t>
      </w:r>
      <w:hyperlink r:id="rId25">
        <w:r>
          <w:rPr>
            <w:color w:val="008C95"/>
            <w:u w:val="single"/>
          </w:rPr>
          <w:t>Disability Rights Arizona</w:t>
        </w:r>
      </w:hyperlink>
    </w:p>
    <w:p>
      <w:pPr>
        <w:spacing w:after="60"/>
        <w:ind w:left="259" w:hanging="259"/>
      </w:pPr>
      <w:r>
        <w:rPr>
          <w:rFonts w:ascii="Arial" w:hAnsi="Arial"/>
          <w:b/>
          <w:color w:val="D95672"/>
          <w:sz w:val="16"/>
        </w:rPr>
        <w:t xml:space="preserve">[16] </w:t>
      </w:r>
      <w:hyperlink r:id="rId26">
        <w:r>
          <w:rPr>
            <w:color w:val="008C95"/>
            <w:u w:val="single"/>
          </w:rPr>
          <w:t>Job Accommodation Network</w:t>
        </w:r>
      </w:hyperlink>
    </w:p>
    <w:p/>
    <w:tbl>
      <w:tblPr>
        <w:tblW w:type="auto" w:w="0"/>
        <w:jc w:val="center"/>
        <w:tblLayout w:type="fixed"/>
        <w:tblLook w:firstColumn="1" w:firstRow="1" w:lastColumn="0" w:lastRow="0" w:noHBand="0" w:noVBand="1" w:val="04A0"/>
      </w:tblPr>
      <w:tblGrid>
        <w:gridCol w:w="10282"/>
      </w:tblGrid>
      <w:tr>
        <w:tc>
          <w:tcPr>
            <w:tcW w:type="dxa" w:w="10282"/>
            <w:shd w:fill="FFF5DA"/>
            <w:tcMar>
              <w:top w:w="130" w:type="dxa"/>
              <w:start w:w="180" w:type="dxa"/>
              <w:bottom w:w="130" w:type="dxa"/>
              <w:end w:w="180" w:type="dxa"/>
            </w:tcMar>
            <w:tcBorders>
              <w:left w:val="single" w:sz="18" w:color="E3A52B"/>
            </w:tcBorders>
          </w:tcPr>
          <w:p>
            <w:pPr>
              <w:spacing w:after="40"/>
            </w:pPr>
            <w:r>
              <w:rPr>
                <w:rFonts w:ascii="Arial" w:hAnsi="Arial"/>
                <w:b/>
                <w:color w:val="E3A52B"/>
                <w:sz w:val="20"/>
              </w:rPr>
              <w:t>General disclaimer</w:t>
            </w:r>
          </w:p>
          <w:p>
            <w:pPr>
              <w:spacing w:after="0" w:line="252" w:lineRule="auto"/>
            </w:pPr>
            <w:r>
              <w:rPr>
                <w:rFonts w:ascii="Arial" w:hAnsi="Arial"/>
                <w:color w:val="22313A"/>
                <w:sz w:val="17"/>
              </w:rPr>
              <w:t>All Hands in Autism Foundation is not affiliated with the agencies and organizations listed. Links are provided for education and navigation. This guide does not create an attorney-client, clinician-patient, fiduciary or benefits-representative relationship and is not a substitute for individualized advice. Eligibility, coverage, remedies and deadlines depend on facts and current law.</w:t>
            </w:r>
          </w:p>
        </w:tc>
      </w:tr>
    </w:tbl>
    <w:p>
      <w:pPr>
        <w:spacing w:after="0"/>
      </w:pPr>
    </w:p>
    <w:p>
      <w:pPr>
        <w:jc w:val="center"/>
      </w:pPr>
      <w:r>
        <w:rPr>
          <w:rFonts w:ascii="Arial" w:hAnsi="Arial"/>
          <w:color w:val="5F6C72"/>
          <w:sz w:val="14"/>
        </w:rPr>
        <w:t>All Hands in Autism Foundation  •  allhandsinautismfoundation.com  •  Info@allhandsinautismfoundation.com  •  (602) 491-3929</w:t>
      </w:r>
    </w:p>
    <w:sectPr w:rsidR="00FC693F" w:rsidRPr="0006063C" w:rsidSect="00034616">
      <w:footerReference w:type="default" r:id="rId9"/>
      <w:pgSz w:w="12240" w:h="15840"/>
      <w:pgMar w:top="792" w:right="979" w:bottom="749" w:left="979"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5F6C72"/>
        <w:sz w:val="14"/>
      </w:rPr>
      <w:t xml:space="preserve">ALL HANDS IN AUTISM FOUNDATION  •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eastAsia="Arial"/>
      <w:color w:val="22313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eastAsia="Arial"/>
      <w:b/>
      <w:bCs/>
      <w:color w:val="4B2A73"/>
      <w:sz w:val="38"/>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008C95"/>
      <w:sz w:val="25"/>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w:b/>
      <w:bCs/>
      <w:color w:val="D9567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Arial" w:hAnsi="Arial" w:eastAsia="Arial"/>
      <w:b/>
      <w:color w:val="4B2A7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200" w:after="100"/>
    </w:pPr>
    <w:rPr>
      <w:rFonts w:asciiTheme="majorHAnsi" w:eastAsiaTheme="majorEastAsia" w:hAnsiTheme="majorHAnsi" w:cstheme="majorBidi" w:ascii="Arial" w:hAnsi="Arial" w:eastAsia="Arial"/>
      <w:b w:val="0"/>
      <w:i/>
      <w:iCs/>
      <w:color w:val="5F6C7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hyperlink" Target="https://www.nimh.nih.gov/health/publications/autism-spectrum-disorder" TargetMode="External"/><Relationship Id="rId12" Type="http://schemas.openxmlformats.org/officeDocument/2006/relationships/hyperlink" Target="https://www.ada.gov/law-and-regs/" TargetMode="External"/><Relationship Id="rId13" Type="http://schemas.openxmlformats.org/officeDocument/2006/relationships/hyperlink" Target="https://www.eeoc.gov/laws/guidance/small-employers-and-reasonable-accommodation" TargetMode="External"/><Relationship Id="rId14" Type="http://schemas.openxmlformats.org/officeDocument/2006/relationships/hyperlink" Target="https://www.eeoc.gov/field-office/phoenix/timeliness" TargetMode="External"/><Relationship Id="rId15" Type="http://schemas.openxmlformats.org/officeDocument/2006/relationships/hyperlink" Target="https://www.ed.gov/higher-education/students-disabilities-preparing-postsecondary-education" TargetMode="External"/><Relationship Id="rId16" Type="http://schemas.openxmlformats.org/officeDocument/2006/relationships/hyperlink" Target="https://www.hhs.gov/civil-rights/for-individuals/disability/index.html" TargetMode="External"/><Relationship Id="rId17" Type="http://schemas.openxmlformats.org/officeDocument/2006/relationships/hyperlink" Target="https://www.ssa.gov/ssi" TargetMode="External"/><Relationship Id="rId18" Type="http://schemas.openxmlformats.org/officeDocument/2006/relationships/hyperlink" Target="https://www.ssa.gov/disability/eligibility" TargetMode="External"/><Relationship Id="rId19" Type="http://schemas.openxmlformats.org/officeDocument/2006/relationships/hyperlink" Target="https://des.az.gov/node/8639" TargetMode="External"/><Relationship Id="rId20" Type="http://schemas.openxmlformats.org/officeDocument/2006/relationships/hyperlink" Target="https://des.az.gov/services/employment/rehabilitation-services/vocational-rehabilitation-vr" TargetMode="External"/><Relationship Id="rId21" Type="http://schemas.openxmlformats.org/officeDocument/2006/relationships/hyperlink" Target="https://www.healthearizonaplus.gov/" TargetMode="External"/><Relationship Id="rId22" Type="http://schemas.openxmlformats.org/officeDocument/2006/relationships/hyperlink" Target="https://az-able.com/how-it-works/eligibility" TargetMode="External"/><Relationship Id="rId23" Type="http://schemas.openxmlformats.org/officeDocument/2006/relationships/hyperlink" Target="https://www.azag.gov/civil-rights/faq" TargetMode="External"/><Relationship Id="rId24" Type="http://schemas.openxmlformats.org/officeDocument/2006/relationships/hyperlink" Target="https://www.azag.gov/complaints/civil-rights" TargetMode="External"/><Relationship Id="rId25" Type="http://schemas.openxmlformats.org/officeDocument/2006/relationships/hyperlink" Target="https://disabilityrightsaz.org/" TargetMode="External"/><Relationship Id="rId26" Type="http://schemas.openxmlformats.org/officeDocument/2006/relationships/hyperlink" Target="https://askj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Newly Diagnosed in Adulthood</dc:title>
  <dc:subject>Arizona guide to adult autism diagnosis, accommodations, benefits and self-advocacy</dc:subject>
  <dc:creator>All Hands in Autism Foundation</dc:creator>
  <cp:keywords>autism, Arizona, accessibility, family support, accommodations</cp:keywords>
  <dc:description>generated by python-docx</dc:description>
  <cp:lastModifiedBy/>
  <cp:revision>1</cp:revision>
  <dcterms:created xsi:type="dcterms:W3CDTF">2013-12-23T23:15:00Z</dcterms:created>
  <dcterms:modified xsi:type="dcterms:W3CDTF">2013-12-23T23:15:00Z</dcterms:modified>
  <cp:category/>
</cp:coreProperties>
</file>